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pPr>
              <w:pStyle w:val="3"/>
              <w:spacing w:line="460" w:lineRule="exact"/>
              <w:jc w:val="center"/>
              <w:rPr>
                <w:rFonts w:hint="eastAsia"/>
                <w:color w:val="000000"/>
                <w:sz w:val="28"/>
                <w:szCs w:val="28"/>
                <w:highlight w:val="none"/>
              </w:rPr>
            </w:pPr>
            <w:bookmarkStart w:id="0" w:name="_Toc14003277"/>
            <w:r>
              <w:rPr>
                <w:rFonts w:hint="eastAsia"/>
                <w:color w:val="000000"/>
                <w:sz w:val="28"/>
                <w:szCs w:val="28"/>
                <w:highlight w:val="none"/>
              </w:rPr>
              <w:t>一、 相关说明</w:t>
            </w:r>
            <w:bookmarkEnd w:id="0"/>
          </w:p>
          <w:p>
            <w:pPr>
              <w:spacing w:line="460" w:lineRule="exact"/>
              <w:ind w:left="420" w:leftChars="200"/>
              <w:rPr>
                <w:rFonts w:ascii="宋体" w:hAnsi="宋体" w:cs="宋体"/>
                <w:bCs/>
                <w:color w:val="000000"/>
                <w:sz w:val="22"/>
                <w:szCs w:val="22"/>
                <w:highlight w:val="none"/>
              </w:rPr>
            </w:pPr>
            <w:bookmarkStart w:id="1" w:name="_Toc384221224"/>
            <w:r>
              <w:rPr>
                <w:rFonts w:hint="eastAsia" w:ascii="宋体" w:hAnsi="宋体" w:cs="宋体"/>
                <w:bCs/>
                <w:color w:val="000000"/>
                <w:sz w:val="22"/>
                <w:szCs w:val="22"/>
                <w:highlight w:val="none"/>
              </w:rPr>
              <w:t>1.网络通识选修课资源平台是我院日常教学工作的重要一环，涉及到学生公共选修课的课程修读。现阶段学院学生公选课的修读，有一半以上是通过网络通识选修课资源平台完成。此外，在学院教师的教学活动过程中，也更加频繁地利用网络课程资源平台作为辅助材料，穿插在日常教学活动之中。</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2</w:t>
            </w:r>
            <w:r>
              <w:rPr>
                <w:rFonts w:ascii="宋体" w:hAnsi="宋体" w:cs="宋体"/>
                <w:bCs/>
                <w:color w:val="000000"/>
                <w:sz w:val="22"/>
                <w:szCs w:val="22"/>
                <w:highlight w:val="none"/>
              </w:rPr>
              <w:t xml:space="preserve">. </w:t>
            </w:r>
            <w:r>
              <w:rPr>
                <w:rFonts w:hint="eastAsia" w:ascii="宋体" w:hAnsi="宋体" w:cs="宋体"/>
                <w:bCs/>
                <w:color w:val="000000"/>
                <w:sz w:val="22"/>
                <w:szCs w:val="22"/>
                <w:highlight w:val="none"/>
              </w:rPr>
              <w:t>付款方式等内容见合同主要条款。</w:t>
            </w:r>
          </w:p>
          <w:p>
            <w:pPr>
              <w:spacing w:line="460" w:lineRule="exact"/>
              <w:ind w:left="420" w:leftChars="200"/>
              <w:rPr>
                <w:rFonts w:hint="eastAsia" w:ascii="宋体" w:hAnsi="宋体" w:cs="宋体"/>
                <w:b/>
                <w:color w:val="000000"/>
                <w:kern w:val="0"/>
                <w:sz w:val="22"/>
                <w:szCs w:val="22"/>
                <w:highlight w:val="none"/>
              </w:rPr>
            </w:pPr>
            <w:r>
              <w:rPr>
                <w:rFonts w:ascii="宋体" w:hAnsi="宋体" w:cs="宋体"/>
                <w:b/>
                <w:color w:val="000000"/>
                <w:kern w:val="0"/>
                <w:sz w:val="22"/>
                <w:szCs w:val="22"/>
                <w:highlight w:val="none"/>
              </w:rPr>
              <w:t>3</w:t>
            </w:r>
            <w:r>
              <w:rPr>
                <w:rFonts w:hint="eastAsia" w:ascii="宋体" w:hAnsi="宋体" w:cs="宋体"/>
                <w:b/>
                <w:color w:val="000000"/>
                <w:kern w:val="0"/>
                <w:sz w:val="22"/>
                <w:szCs w:val="22"/>
                <w:highlight w:val="none"/>
              </w:rPr>
              <w:t>.</w:t>
            </w:r>
            <w:r>
              <w:rPr>
                <w:rFonts w:hint="eastAsia" w:ascii="宋体" w:hAnsi="宋体"/>
                <w:b/>
                <w:color w:val="000000"/>
                <w:sz w:val="22"/>
                <w:szCs w:val="22"/>
                <w:highlight w:val="none"/>
              </w:rPr>
              <w:t>▲</w:t>
            </w:r>
            <w:r>
              <w:rPr>
                <w:rFonts w:hint="eastAsia" w:ascii="宋体" w:hAnsi="宋体" w:cs="宋体"/>
                <w:b/>
                <w:color w:val="000000"/>
                <w:kern w:val="0"/>
                <w:sz w:val="22"/>
                <w:szCs w:val="22"/>
                <w:highlight w:val="none"/>
                <w:u w:val="single"/>
              </w:rPr>
              <w:t>本项目采购预算为人民币贰拾肆万元整（￥240000元），最后报价超过预算的，按无效标处理</w:t>
            </w:r>
            <w:r>
              <w:rPr>
                <w:rFonts w:hint="eastAsia" w:ascii="宋体" w:hAnsi="宋体" w:cs="宋体"/>
                <w:b/>
                <w:color w:val="000000"/>
                <w:kern w:val="0"/>
                <w:sz w:val="22"/>
                <w:szCs w:val="22"/>
                <w:highlight w:val="none"/>
              </w:rPr>
              <w:t>。</w:t>
            </w:r>
          </w:p>
          <w:bookmarkEnd w:id="1"/>
          <w:p>
            <w:pPr>
              <w:keepNext/>
              <w:keepLines/>
              <w:spacing w:before="260" w:after="260" w:line="460" w:lineRule="exact"/>
              <w:jc w:val="center"/>
              <w:outlineLvl w:val="1"/>
              <w:rPr>
                <w:rFonts w:hint="eastAsia" w:ascii="Arial" w:hAnsi="Arial" w:eastAsia="黑体"/>
                <w:b/>
                <w:bCs/>
                <w:color w:val="000000"/>
                <w:sz w:val="28"/>
                <w:szCs w:val="28"/>
                <w:highlight w:val="none"/>
              </w:rPr>
            </w:pPr>
            <w:bookmarkStart w:id="2" w:name="_Toc4086635"/>
            <w:bookmarkStart w:id="3" w:name="_Toc16334"/>
            <w:bookmarkStart w:id="4" w:name="_Toc14003278"/>
            <w:r>
              <w:rPr>
                <w:rFonts w:hint="eastAsia" w:ascii="Arial" w:hAnsi="Arial" w:eastAsia="黑体"/>
                <w:b/>
                <w:bCs/>
                <w:color w:val="000000"/>
                <w:sz w:val="28"/>
                <w:szCs w:val="28"/>
                <w:highlight w:val="none"/>
              </w:rPr>
              <w:t>二、 采购内容及技术要求</w:t>
            </w:r>
            <w:bookmarkEnd w:id="2"/>
            <w:bookmarkEnd w:id="3"/>
            <w:bookmarkEnd w:id="4"/>
          </w:p>
          <w:p>
            <w:pPr>
              <w:spacing w:line="460" w:lineRule="exact"/>
              <w:ind w:left="420" w:leftChars="200"/>
              <w:rPr>
                <w:rFonts w:hint="eastAsia" w:ascii="宋体" w:hAnsi="宋体" w:cs="宋体"/>
                <w:bCs/>
                <w:color w:val="000000"/>
                <w:sz w:val="22"/>
                <w:szCs w:val="22"/>
                <w:highlight w:val="none"/>
              </w:rPr>
            </w:pPr>
            <w:bookmarkStart w:id="5" w:name="_Toc474829536"/>
            <w:bookmarkStart w:id="6" w:name="_Toc31708"/>
            <w:r>
              <w:rPr>
                <w:rFonts w:hint="eastAsia" w:ascii="宋体" w:hAnsi="宋体" w:cs="宋体"/>
                <w:bCs/>
                <w:color w:val="000000"/>
                <w:sz w:val="22"/>
                <w:szCs w:val="22"/>
                <w:highlight w:val="none"/>
              </w:rPr>
              <w:t>（一）总体要求</w:t>
            </w:r>
            <w:bookmarkEnd w:id="5"/>
            <w:bookmarkEnd w:id="6"/>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为提升我校的学生综合素养，培养培育专而全的新型人才，适应当前快速发展发育的时代要求，因而开设通识素养教育。我方所需的通识教育学习系统，包括以下模块：通识素养测评功能、通识教育经典阅读数字教材、通识素养课程模块、通识教育课程学习系统管理功能、通识教育学习报告、学习结果问卷调查功能、通识教育学习系统移动端等，所有模块在同一个平台上运行，提供配套的移动端，并支持ios、Android两大系统，移动端无缝对接平台。提供不少于500门的在线通识类课程。</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 xml:space="preserve">2.须提供2021年1月1日-2022年12月31日两年服务。 </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3.所提供平台系统架构具有较好的可维护性和可扩展性。</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平台开发技术上采用基于Unix或Linux操作系统，保证使用的稳定性，安全性和运行效率。</w:t>
            </w:r>
          </w:p>
          <w:p>
            <w:pPr>
              <w:spacing w:line="460" w:lineRule="exact"/>
              <w:ind w:left="420" w:leftChars="200"/>
              <w:rPr>
                <w:rFonts w:hint="eastAsia" w:ascii="宋体" w:hAnsi="宋体" w:cs="宋体"/>
                <w:bCs/>
                <w:color w:val="000000"/>
                <w:sz w:val="22"/>
                <w:szCs w:val="22"/>
                <w:highlight w:val="none"/>
              </w:rPr>
            </w:pPr>
            <w:bookmarkStart w:id="7" w:name="_Toc474829537"/>
            <w:bookmarkStart w:id="8" w:name="_Toc22046"/>
            <w:r>
              <w:rPr>
                <w:rFonts w:hint="eastAsia" w:ascii="宋体" w:hAnsi="宋体" w:cs="宋体"/>
                <w:bCs/>
                <w:color w:val="000000"/>
                <w:sz w:val="22"/>
                <w:szCs w:val="22"/>
                <w:highlight w:val="none"/>
              </w:rPr>
              <w:t>（二）技术要求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1.通识素养测评功能要求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测评需求:测评体系旨在帮助学生了解分析其自身各个维度上素养的优势与不足，在大学学习的有限时间内，能够有针对性地查漏补缺，提升个人整体的素养水平。提供分析详尽的在线测评后台及测评结果报告，帮助学校全方位了解本校学生的测评结果，以便在招生与教学过程中，有针对性地对学生普遍存在的薄弱环节进行适时的学前教育，学生在选择相关课程、组织相关活动过程中更加有侧重点，帮助学生全面提高个人各维度的素养。</w:t>
            </w:r>
          </w:p>
          <w:p>
            <w:pPr>
              <w:spacing w:line="460" w:lineRule="exact"/>
              <w:ind w:left="420" w:leftChars="200"/>
              <w:rPr>
                <w:rFonts w:hint="eastAsia" w:ascii="宋体" w:hAnsi="宋体" w:cs="宋体"/>
                <w:bCs/>
                <w:color w:val="000000"/>
                <w:sz w:val="22"/>
                <w:szCs w:val="22"/>
                <w:highlight w:val="none"/>
              </w:rPr>
            </w:pPr>
            <w:r>
              <w:rPr>
                <w:rFonts w:hint="eastAsia" w:ascii="宋体" w:hAnsi="宋体"/>
                <w:spacing w:val="-6"/>
                <w:szCs w:val="21"/>
                <w:highlight w:val="none"/>
              </w:rPr>
              <w:t>*</w:t>
            </w:r>
            <w:r>
              <w:rPr>
                <w:rFonts w:hint="eastAsia" w:ascii="宋体" w:hAnsi="宋体" w:cs="宋体"/>
                <w:bCs/>
                <w:color w:val="000000"/>
                <w:sz w:val="22"/>
                <w:szCs w:val="22"/>
                <w:highlight w:val="none"/>
              </w:rPr>
              <w:t>学生在完成测评并查看个人结果后，可以直接通过平台及客户端精准获取提升自身素养所需的相关权威课程资源与阅读资源。平台能够提供丰富的资源，帮助学生解决在学习过程中遇到不知道如何获取学习资料、只获取课程资源导致缺乏学习动力、获取的学习资料不完整或不权威等问题。通识素养测评：针对学生通识素养进行测评，主要包括国学、科技、社会管理、人类思想、文学艺术、历史文明等六个方面的内容。</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国学基础：以经典国学作品为基础，综合考察中国传统国学相关知识。主要包括中国古代哲学思想解读、古代经典作品内容与分析、古代礼仪与文明实际应用等内容。</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科学技术：全方位剖析科学发展的历史及其精神内涵。考核数学、物理、化学、生物等领域的基础理论，以及神经、认知、材料、计算机、互联网等领域的最新进展情况。</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社会管理：揭示经济活动的一般规律，不仅仅关注经济活动的一般表象，更能够深入考察经济活动背后的理论与实际运作。同时兼顾社会管理领域，解读管理活动的理论与内涵。</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人类思想：探索人类信仰、法理、哲学等思想的发展历程及其产生的重大影响，能够从本质上揭示各种思想的异同。同时能够联结中西思想领域，以宏观视野对思想进行对比。</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文学艺术：对人类自古至今的文学与艺术进行全面而适当的考核。兼顾中西、古今等多个视角，囊括文学、音乐、绘画、建筑、雕塑、摄影等各个相关领域的主要作品、大师、事件。</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历史文明：多维度展现世界各种文化的兴起与衰亡，剖析人类历史进程的关键转折点，发掘个人、组织、事件、环境等各个要素对整个人类文明演变产生的深远影响。</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测评主要功能要求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spacing w:val="-6"/>
                <w:szCs w:val="21"/>
                <w:highlight w:val="none"/>
              </w:rPr>
              <w:t>*</w:t>
            </w:r>
            <w:r>
              <w:rPr>
                <w:rFonts w:hint="eastAsia" w:ascii="宋体" w:hAnsi="宋体" w:cs="宋体"/>
                <w:bCs/>
                <w:color w:val="000000"/>
                <w:sz w:val="22"/>
                <w:szCs w:val="22"/>
                <w:highlight w:val="none"/>
              </w:rPr>
              <w:t>测评功能：自动识别学生对应学校通识课程的开课课程信息。在学生测评过程中记录学生的参与时间、最终成绩、每道题目的答题情况等详细数据。</w:t>
            </w:r>
          </w:p>
          <w:p>
            <w:pPr>
              <w:spacing w:line="460" w:lineRule="exact"/>
              <w:ind w:left="420" w:leftChars="200"/>
              <w:rPr>
                <w:rFonts w:hint="eastAsia" w:ascii="宋体" w:hAnsi="宋体" w:cs="宋体"/>
                <w:bCs/>
                <w:color w:val="000000"/>
                <w:sz w:val="22"/>
                <w:szCs w:val="22"/>
                <w:highlight w:val="none"/>
              </w:rPr>
            </w:pPr>
            <w:r>
              <w:rPr>
                <w:rFonts w:hint="eastAsia" w:ascii="宋体" w:hAnsi="宋体"/>
                <w:spacing w:val="-6"/>
                <w:szCs w:val="21"/>
                <w:highlight w:val="none"/>
              </w:rPr>
              <w:t>*</w:t>
            </w:r>
            <w:r>
              <w:rPr>
                <w:rFonts w:hint="eastAsia" w:ascii="宋体" w:hAnsi="宋体" w:cs="宋体"/>
                <w:bCs/>
                <w:color w:val="000000"/>
                <w:sz w:val="22"/>
                <w:szCs w:val="22"/>
                <w:highlight w:val="none"/>
              </w:rPr>
              <w:t>引导功能：测评完成后，必须能够推荐相关学习资料，帮助学生提高通识素养能力。要求推荐不少于6门相关课程及10本相关图书。学生应能够直接在测评系统内试看推荐的课程，并能够直接进入选课系统选课。推荐的相关图书应能够直接阅读全文。</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学习功能：给学生提供提升通识素养的工具，帮助学生针对自身薄弱领域进行提升。</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数据统计分析功能：</w:t>
            </w:r>
          </w:p>
          <w:p>
            <w:pPr>
              <w:spacing w:line="460" w:lineRule="exact"/>
              <w:ind w:left="420" w:leftChars="200"/>
              <w:rPr>
                <w:rFonts w:hint="eastAsia" w:ascii="宋体" w:hAnsi="宋体" w:cs="宋体"/>
                <w:bCs/>
                <w:color w:val="000000"/>
                <w:sz w:val="22"/>
                <w:szCs w:val="22"/>
                <w:highlight w:val="none"/>
              </w:rPr>
            </w:pPr>
            <w:r>
              <w:rPr>
                <w:rFonts w:hint="eastAsia" w:ascii="宋体" w:hAnsi="宋体"/>
                <w:spacing w:val="-6"/>
                <w:szCs w:val="21"/>
                <w:highlight w:val="none"/>
              </w:rPr>
              <w:t>*</w:t>
            </w:r>
            <w:r>
              <w:rPr>
                <w:rFonts w:hint="eastAsia" w:ascii="宋体" w:hAnsi="宋体" w:cs="宋体"/>
                <w:bCs/>
                <w:color w:val="000000"/>
                <w:sz w:val="22"/>
                <w:szCs w:val="22"/>
                <w:highlight w:val="none"/>
              </w:rPr>
              <w:t>测评完成后，需要提供详细的学生报告。报告中需要包括测评内容体系各门类的详细分数、成绩评价，要能够回看学生历次测评结果。</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测评过程中，需要给校方提供实时监控后台，以便查看各年级、各专业学生的参与情况；并能够直接提供各分数段、各内容体系维度的数据分析结果，向学校展示学生整体通识素养水平。</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测评结束后，需向学校提供详尽完整的《通识素养提升解决方案》。该解决方案需要分年级、学院、内容体系维度等方面对学生数据进行分析，并且针对学校的开课清单、通识资源建设、教学改革方面提出合理化建议。</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测评题目数量及时长要求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测评题目内容需要涵盖上述所有测评内容门类。</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单次测评题目数量不少于50道，测评总时长不少于15分钟。</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题库包含题目总量不少于500道。其中测评体系中各门类不少于100道。</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测评题目内容要求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每道题目必须包含题目答案解析，能够明确解释题目考核相关知识点。</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测评需要包括文字题、图片题及音频题三类。</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测评题目需要有完整的测评知识点体系作为依据。知识点体系至少包括三个层级，对知识点表述清晰、准确、全面。</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测评质量要求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整个测评系统需有专人监测系统运行情况。系统功能出现问题需在24小时内修复。系统内容出现问题需在24小时内修改或替换。</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测评题目每年更新数量需不低于200道。</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2.通识素养课程基本要求：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2.1</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课程体系要求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课程需具备以下门类：</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（1）根据《浙江省人民政府办公厅文件》“浙政办发[2016]38号”关于普通高校针对艺术类课程的要求，结合我校实际师资和开课情况，此次采购课程须包含以下这些艺术类课程：</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中华诗词鉴赏、中国书法史鉴赏、古代名剧鉴赏、世界建筑鉴赏、西方美术鉴赏、音乐鉴赏、影视鉴赏、舞蹈鉴赏、美术鉴赏、戏曲鉴赏、口才艺术与社交礼仪等相关课程。</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（2）通用能力类。以就业为导向，以能力为本位， 以职场生活为教学内容，以行为引导为教学方法，弥补专业教育模式带来的缺憾，提升中国大学生的综合就业力和职业适应力，帮助大学生更好地应对知识经济与信化社会所带来的挑战，实现成功就业。提供至少10门课程供学校选择如个人理财、形势与政策、军事理论、就业指导等相关课程。</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（3）成长基础类。以大学生的身心健康发展为导向，通过对安全意识、生理健康、心理健康、职业规划、公民素质等领域。 提供至少10门课程供学校选择，如大学生心理健康教育、、大学生职业生涯规划等相关课程。</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创新创业类。紧扣国家政策，围绕提高大学生创新创业实战能力的目标，构建包括必修和选修、基础和进阶、理论与实战的创新创业课程体系。提供至少10门课程供学校选择，如大学生创业基础、创新创业课程等相关课程。</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2.2课程内容要求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（1）师资来源为985/211高校、中国科学院、中国社会科学院等国内外知名院校和科研机构。</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lang w:val="en-US" w:eastAsia="zh-CN"/>
              </w:rPr>
              <w:t>2</w:t>
            </w:r>
            <w:r>
              <w:rPr>
                <w:rFonts w:hint="eastAsia" w:ascii="宋体" w:hAnsi="宋体" w:cs="宋体"/>
                <w:bCs/>
                <w:color w:val="000000"/>
                <w:sz w:val="22"/>
                <w:szCs w:val="22"/>
                <w:highlight w:val="none"/>
              </w:rPr>
              <w:t>）课程必需高清拍摄，可在线以720P以上清晰度流畅播放；有完整清晰简体中文字幕（外语课程有清晰对应语种字幕），有独立字幕文件；视频中配备图片等多媒体素材帮助学生学习，每个视频文件平均时长约为15分钟，FLV或MP4格式。</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lang w:val="en-US" w:eastAsia="zh-CN"/>
              </w:rPr>
              <w:t>3</w:t>
            </w:r>
            <w:r>
              <w:rPr>
                <w:rFonts w:hint="eastAsia" w:ascii="宋体" w:hAnsi="宋体" w:cs="宋体"/>
                <w:bCs/>
                <w:color w:val="000000"/>
                <w:sz w:val="22"/>
                <w:szCs w:val="22"/>
                <w:highlight w:val="none"/>
              </w:rPr>
              <w:t>）每门课程需要配有完善的教学大纲，相关试题库（选择题、判断题、简答题），每门课程包含200道左右考题，试题每年更新一次；上述资源均可在网络上直接访问。</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3.通识教育学习系统管理功能</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3.1 学校教学管理功能要求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（1）提供学校专属站点和域名，支持定制的学校个性化课程网站，学生可通过个性化网站进行登录。</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（2）站点数据独立存储、独立维护，保障各学校站点之间互不冲突。所有数据实时备份，保障数据安全。</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（3）支持各站点更新维护，并保证更新维护不影响数据。</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（4）实现统一用户授权和单点登录，支持直接用教务系统账号密码登录。</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5）设置管理员、教师、学生三个用户角色并赋予不同用户权限，管理员可以添加、编辑、锁定、删除二级管理员、教师和学生账号；教师可以在课程下添加和删除学生，不影响后台数据；管理员可以模拟教师和学生登录。</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（6）支持在教务系统选课再将选课数据导入平台。</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（7）支持学生选课前试听课程。</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（8）支持学生数据的统一导入与成绩统一导出，提供数据模板。</w:t>
            </w:r>
          </w:p>
          <w:p>
            <w:pPr>
              <w:spacing w:line="460" w:lineRule="exact"/>
              <w:ind w:left="420" w:leftChars="200"/>
              <w:rPr>
                <w:rFonts w:hint="eastAsia" w:ascii="宋体" w:hAnsi="宋体" w:cs="宋体"/>
                <w:bCs/>
                <w:color w:val="000000"/>
                <w:sz w:val="22"/>
                <w:szCs w:val="22"/>
                <w:highlight w:val="none"/>
              </w:rPr>
            </w:pPr>
            <w:r>
              <w:rPr>
                <w:rFonts w:hint="eastAsia" w:ascii="宋体" w:hAnsi="宋体"/>
                <w:spacing w:val="-6"/>
                <w:szCs w:val="21"/>
                <w:highlight w:val="none"/>
              </w:rPr>
              <w:t>*</w:t>
            </w:r>
            <w:r>
              <w:rPr>
                <w:rFonts w:hint="eastAsia" w:ascii="宋体" w:hAnsi="宋体" w:cs="宋体"/>
                <w:bCs/>
                <w:color w:val="000000"/>
                <w:sz w:val="22"/>
                <w:szCs w:val="22"/>
                <w:highlight w:val="none"/>
              </w:rPr>
              <w:t>（9）学生考核包含视频、作业、考试、在线时间、扩展阅读多个维度，需能根据学校需要统一设置，也能根据不同课程分别设置。</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10）平台支持对教师及学生的行为进行记录与分析，包括学生使用各模块学习的时间分配、学习次数，学生在学习教学资料、参与辅助教学的情况汇总，提供教师工作行为分析，包括教师使用各模块教学的时间分配、教学次数。</w:t>
            </w:r>
          </w:p>
          <w:p>
            <w:pPr>
              <w:spacing w:line="460" w:lineRule="exact"/>
              <w:ind w:left="420" w:leftChars="200"/>
              <w:rPr>
                <w:rFonts w:hint="eastAsia" w:ascii="宋体" w:hAnsi="宋体" w:cs="宋体"/>
                <w:bCs/>
                <w:color w:val="000000"/>
                <w:sz w:val="22"/>
                <w:szCs w:val="22"/>
                <w:highlight w:val="none"/>
              </w:rPr>
            </w:pPr>
            <w:r>
              <w:rPr>
                <w:rFonts w:hint="eastAsia" w:ascii="宋体" w:hAnsi="宋体"/>
                <w:spacing w:val="-6"/>
                <w:szCs w:val="21"/>
                <w:highlight w:val="none"/>
              </w:rPr>
              <w:t>*</w:t>
            </w:r>
            <w:r>
              <w:rPr>
                <w:rFonts w:hint="eastAsia" w:ascii="宋体" w:hAnsi="宋体" w:cs="宋体"/>
                <w:bCs/>
                <w:color w:val="000000"/>
                <w:sz w:val="22"/>
                <w:szCs w:val="22"/>
                <w:highlight w:val="none"/>
              </w:rPr>
              <w:t>（11）采用多种手段对某一课程的教学效果进行在线实时统计，对班级成绩进行统计分析，对教师学生行为进行统计分析，支持表单和图表样式显示结果，可以导出统计结果。</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（12）支持课程评价与问卷功能。</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（13）管理员可在后台设置相应的开课审核机制，根据实际情况选择开课管理，可选择手动审批可或自动审批。</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3.2 学生在线学习要求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（1）课程需支持闯关式教学，学生必须在完成当前任务后才可进入下一环节。系统还需支持一键式取消闯关模式，在取消闯关模式后学生可自由进行学习。</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（2）闯关模式中的学习任务应至少支持视频、作业、阅读三种类型。</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3）学生在线学习课程时需支持进度记忆，支持防止快进、防止跳集观看，支持当前活动窗口探测，防止观看课程时进行其他活动。系统还可取消防快进、防跳集、当前窗口探测功能。支持长时间无活动自动停止播放。</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（4）支持课程视频中插入考题，学生必需回答正确才可继续观看。</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（5）支持在线考试功能。</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（6）支持学生在线进行讨论、答疑与寻求客服帮助。</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4.3 教师教学管理功能</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（1）教师可发布各种通知，通知实时推送到学生的各个终端；系统自动反馈通知阅读情况，教师可在线查看。</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（2）需灵活支持选课学生增删改操作。</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（3）教师可设置课程的发布模式，包括闯关教学模式与自由学习模式，还可选择一次性发布学习任务和分批自动发布学习任务。</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（4）教师可以选择部分文档进行分享，作为参考资料。</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（5）除了平台自带题库外，需支持教师自己出题，进行发布考核，并纳入考核方案，所有习题自动生成题库，支持题库批量上传和下载。</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（6）教师可在线出卷并发布考试，支持线上试卷导出打印。</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（7）支持客观题在线批阅。</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（8）支持根据考核标准进行成绩自动统计。</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（9）教学结束后支持课程归档。</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（10）支持教师在线查看数据统计，包括课程信息总览、每名学生学习详情、课程访问曲线、各项进度和成绩，支持成绩导出和线下成绩导入。</w:t>
            </w:r>
          </w:p>
          <w:p>
            <w:pPr>
              <w:spacing w:line="460" w:lineRule="exact"/>
              <w:ind w:left="420" w:leftChars="200"/>
              <w:rPr>
                <w:rFonts w:hint="eastAsia" w:eastAsia="宋体"/>
                <w:highlight w:val="none"/>
                <w:lang w:eastAsia="zh-CN"/>
              </w:rPr>
            </w:pPr>
            <w:r>
              <w:rPr>
                <w:rFonts w:hint="eastAsia" w:ascii="宋体" w:hAnsi="宋体"/>
                <w:spacing w:val="-6"/>
                <w:szCs w:val="21"/>
                <w:highlight w:val="none"/>
              </w:rPr>
              <w:t>*</w:t>
            </w:r>
            <w:r>
              <w:rPr>
                <w:rFonts w:hint="eastAsia" w:ascii="宋体" w:hAnsi="宋体" w:cs="宋体"/>
                <w:bCs/>
                <w:color w:val="000000"/>
                <w:sz w:val="22"/>
                <w:szCs w:val="22"/>
                <w:highlight w:val="none"/>
              </w:rPr>
              <w:t>（11）支持自助式考试与机房统一考试，机房统一考试提供客户端系统，并提供成功实施机房统一考试案例，不少于三家。</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3.4课程运行服务要求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（1）支持云服务、混合部署、本地化部署等多种部署方式，确保视频访问时提供校园网与公网切换服务，平台远程访问、视频数据本地安装、公网访问。</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（2）供应商需提供软件系统更新维护服务。</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（3）供应商提供教学和教务全程服务，包括开课/结课的所有对接服务，须在学校指定时间内将学生信息导入，学生成绩以及不良记录等相关数据于学生完成学习后4个工作日内导出并发给学校等。</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具备有效的防刷课管理机制，能及时、准确判断学生刷课行为，并能反馈相应信息给管理员、教师和学生，并在学习和课程考核环节上有相应控制流程。提供学生学习进度监控、课程访问统计分析、学习诚信监控，可根据学校需求随时提供教学运行数据、不诚信学习名单以及根据学校要求提供不诚信学习详情报告。</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（5）结课后提供针对学校的课程运行报告，并需提供省内三所学校的课程使用报告。</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（6）提供在线客服、电话客服、邮箱客服解决学生、管理员、辅导老师使用问题；学生学习的导学、督学（短信、电话、邮件）服务。供应商建立本校QQ、微信群等，进行学生日常学习督促和事务回复处理。</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（7）应在学校所属省（市、自治区）建设有本地化服务团队。</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（8）学习进程中对学习情况进行问卷调查分析，了解学生感受和意见。</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（9）供应商应提供上门用户培训服务，且时间、地点、规模有学校制定，每学年培训不少于2次；供应商应免费提供操作手册、培训课程和视频等参考资料。</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4.课程运行报告服务要求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4.1课程运行报告制作要求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每学期结课后提供针对学校的课程运行报告，分春、秋两学期单独制作；</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根据学校需求，提供电子版报告和纸质版报告；</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提供全省/全国对比情况；</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每学期对报告形式、内容进行有针对性的更新；</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每学期对选课学生进行在线问卷调查并对问卷数据进行多维度分析。</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4.2课程运行报告内容要求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报告分为总概、课程运行模式说明、课程运行情况分析、线下活动、反馈与建议等5个板块。</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4.2.1总概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介绍本学期学校选修课程的总体情况，包含以下8项数据：</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用户数</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课程修读人次累计总数;</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总课程数</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下学期预期上线新课数</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本学期学校开设课程数</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本学期学校选修总人次</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本学期学校总体通过率</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本学期学校总体优秀率</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4.2.2课程运行模式说明</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包括学校课程运行模式总体说明、学习站点介绍及教学安排时间表3个部分。</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课程运行模式总体说明：包括选课模式/学习方式/学习计划/学习内容/作业考试等5个部分的说明；</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学习站点介绍：包括PC端和手机端2 种类型学习站点；</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教学安排时间表：包括课程学习及课程考试时间安排。</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4.2.3 课程运行情况分析</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包含学生选课情况、学生考核情况、学习过程数据追踪分析等3个课程运行情况分析板块。</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学生选课情况：包含各院系学生选课情况数据、学生选课模块分布情况数据2个方面；</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学生考核情况：包含学生考核成绩统计、课程平均考核成绩统计、各院系学生成绩情况统计等3个方面；</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学习过程数据追踪分析：包含学习访问情况分析、学习讨论情况分析、在线课程完成情况分析、在线答疑情况分析等4个维度。</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4.2.4  线下活动</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 xml:space="preserve">    介绍本学期由协助学校开展的通识教育教学活动、“名师进校园”活动、学生/教师培训等3个方面的信息。</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5.通识教育学习问卷调查系统</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 xml:space="preserve">     结课后通过在线问卷调查形式收集选课学生对课程、师资和平台的客观评价。问卷发放形式：手机端、网页端 2种形式。单份调查问卷题目不少于30道，其中至少包含1道主观题。 内容需包括对课程总体评价、课程和视频制作评价、师资评价、平台评价及建议和意见等。</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针对问卷数据从以下 5 个方面进行具体分析：</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总体评价</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包含课程满意度、课程推荐率、课程收获情况等3个维度。</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课程设计与制作评价</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包含课程设计评价、视频制作评价等2个维度。</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师资评价</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包含学术水平、讲解能力、表现力、内容启发性等4个维度。</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测验和考核评价</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包含测验与试题对学习效果的检测、测验与试题知识点覆盖情况、测验与试题数量设置、测验与试题难度设置等4个维度。</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平台评价</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包含平台稳定度、平台运行具体情况等2个维度。</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w:t>
            </w:r>
            <w:r>
              <w:rPr>
                <w:rFonts w:hint="eastAsia" w:ascii="宋体" w:hAnsi="宋体" w:cs="宋体"/>
                <w:bCs/>
                <w:color w:val="000000"/>
                <w:sz w:val="22"/>
                <w:szCs w:val="22"/>
                <w:highlight w:val="none"/>
              </w:rPr>
              <w:tab/>
            </w:r>
            <w:r>
              <w:rPr>
                <w:rFonts w:hint="eastAsia" w:ascii="宋体" w:hAnsi="宋体" w:cs="宋体"/>
                <w:bCs/>
                <w:color w:val="000000"/>
                <w:sz w:val="22"/>
                <w:szCs w:val="22"/>
                <w:highlight w:val="none"/>
              </w:rPr>
              <w:t>反馈与建议</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 xml:space="preserve">    根据课程运行数据分析和学生调查问卷数据分析，针对学校在课程运行和管理过程中可能存在的问题，提出有针对性的参考意见。</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6．移动教学</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（1）支持iOS和Android两个系统，移动端是配套的app，无缝对接平台。支持手机和平板电脑等设备，实现在线移动学习、讨论、答疑、交互等功能。</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（2）移动端与PC端学习进度、学习数据保持同步，教师可以对课程和学生进行统一管理。</w:t>
            </w:r>
          </w:p>
          <w:p>
            <w:pPr>
              <w:spacing w:line="460" w:lineRule="exact"/>
              <w:ind w:left="420" w:leftChars="200"/>
              <w:rPr>
                <w:rFonts w:hint="eastAsia" w:ascii="宋体" w:hAnsi="宋体" w:cs="宋体"/>
                <w:bCs/>
                <w:color w:val="000000"/>
                <w:sz w:val="22"/>
                <w:szCs w:val="22"/>
                <w:highlight w:val="none"/>
              </w:rPr>
            </w:pPr>
            <w:r>
              <w:rPr>
                <w:rFonts w:hint="eastAsia" w:ascii="宋体" w:hAnsi="宋体"/>
                <w:spacing w:val="-6"/>
                <w:szCs w:val="21"/>
                <w:highlight w:val="none"/>
              </w:rPr>
              <w:t>*</w:t>
            </w:r>
            <w:r>
              <w:rPr>
                <w:rFonts w:hint="eastAsia" w:ascii="宋体" w:hAnsi="宋体" w:cs="宋体"/>
                <w:bCs/>
                <w:color w:val="000000"/>
                <w:sz w:val="22"/>
                <w:szCs w:val="22"/>
                <w:highlight w:val="none"/>
              </w:rPr>
              <w:t>（3）支持手机直播功能，学生可以通过移动端参加网络课程在线直播，并且可以在观看直播的同时，参与教学互动。</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（4）支持在线学习及过程监控，防止拖拽，防止跳集。</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（5）支持在线完成作业、讨论、答疑、考试等操作。</w:t>
            </w:r>
          </w:p>
          <w:p>
            <w:pPr>
              <w:spacing w:line="460" w:lineRule="exact"/>
              <w:ind w:left="420" w:leftChars="200"/>
              <w:rPr>
                <w:rFonts w:hint="eastAsia" w:ascii="宋体" w:hAnsi="宋体" w:cs="宋体"/>
                <w:bCs/>
                <w:color w:val="000000"/>
                <w:sz w:val="22"/>
                <w:szCs w:val="22"/>
                <w:highlight w:val="none"/>
              </w:rPr>
            </w:pPr>
            <w:r>
              <w:rPr>
                <w:rFonts w:hint="eastAsia" w:ascii="宋体" w:hAnsi="宋体"/>
                <w:spacing w:val="-6"/>
                <w:szCs w:val="21"/>
                <w:highlight w:val="none"/>
              </w:rPr>
              <w:t>*</w:t>
            </w:r>
            <w:r>
              <w:rPr>
                <w:rFonts w:hint="eastAsia" w:ascii="宋体" w:hAnsi="宋体" w:cs="宋体"/>
                <w:bCs/>
                <w:color w:val="000000"/>
                <w:sz w:val="22"/>
                <w:szCs w:val="22"/>
                <w:highlight w:val="none"/>
              </w:rPr>
              <w:t>（6）支持在线阅读相关电子书，同步记录学生的阅读进度，并将阅读计入到考核当中。</w:t>
            </w:r>
          </w:p>
          <w:p>
            <w:pPr>
              <w:spacing w:line="460" w:lineRule="exact"/>
              <w:ind w:left="420" w:leftChars="200"/>
              <w:rPr>
                <w:rFonts w:hint="eastAsia" w:ascii="宋体" w:hAnsi="宋体" w:eastAsia="仿宋_GB2312" w:cs="宋体"/>
                <w:bCs/>
                <w:color w:val="000000"/>
                <w:sz w:val="22"/>
                <w:szCs w:val="22"/>
                <w:highlight w:val="none"/>
                <w:lang w:val="en-US" w:eastAsia="zh-CN"/>
              </w:rPr>
            </w:pPr>
            <w:r>
              <w:rPr>
                <w:rFonts w:hint="eastAsia" w:ascii="宋体" w:hAnsi="宋体"/>
                <w:spacing w:val="-6"/>
                <w:szCs w:val="21"/>
                <w:highlight w:val="none"/>
              </w:rPr>
              <w:t>*</w:t>
            </w:r>
            <w:r>
              <w:rPr>
                <w:rFonts w:hint="eastAsia" w:ascii="宋体" w:hAnsi="宋体" w:cs="宋体"/>
                <w:bCs/>
                <w:color w:val="000000"/>
                <w:sz w:val="22"/>
                <w:szCs w:val="22"/>
                <w:highlight w:val="none"/>
              </w:rPr>
              <w:t>（7）支持混合式教学，支持课堂互动</w:t>
            </w:r>
            <w:r>
              <w:rPr>
                <w:rFonts w:hint="eastAsia" w:ascii="宋体" w:hAnsi="宋体" w:cs="宋体"/>
                <w:bCs/>
                <w:color w:val="000000"/>
                <w:sz w:val="22"/>
                <w:szCs w:val="22"/>
                <w:highlight w:val="none"/>
                <w:lang w:eastAsia="zh-CN"/>
              </w:rPr>
              <w:t>，</w:t>
            </w:r>
            <w:r>
              <w:rPr>
                <w:rFonts w:hint="eastAsia" w:ascii="宋体" w:hAnsi="宋体" w:cs="宋体"/>
                <w:bCs/>
                <w:color w:val="000000"/>
                <w:sz w:val="22"/>
                <w:szCs w:val="22"/>
                <w:highlight w:val="none"/>
              </w:rPr>
              <w:t>支持发布ppt投屏、签到、投票、选人、问卷调查、视频学习、班级群聊、云盘资源调取、互动讨论等课堂教学工具。</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（8）包含个人移动学习评价系统，根据使用量、笔记量、订阅量、阅读量等进行排名、评级，从而激励学习行为。</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（9）支持手机端统一考试功能。</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7.技术服务要求</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 提供开课/结课的所有对接服务：学生信息、学习成绩及学分的导入/导出服务；</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（2） 提供学生学习进度监控、课程访问统计分析服务；</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（3） 提供在线客服解决学生、管理员、辅导老师使用问题；学生学习的导学、督学（短信、电话、邮件、QQ群、微信群）服务；</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（4）提供辅导教师工作情况、工作量监控分析服务；</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（5）提供平台监控、系统维护服务；</w:t>
            </w:r>
            <w:bookmarkEnd w:id="7"/>
            <w:bookmarkEnd w:id="8"/>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（6）系统所有的数据导出功能以及统计分析功能都能提供数据库视图供招标方实时读取。</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8.惩罚条款</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w:t>
            </w:r>
            <w:r>
              <w:rPr>
                <w:rFonts w:hint="eastAsia" w:ascii="宋体" w:hAnsi="宋体" w:cs="宋体"/>
                <w:bCs/>
                <w:color w:val="000000"/>
                <w:sz w:val="22"/>
                <w:szCs w:val="22"/>
                <w:highlight w:val="none"/>
                <w:lang w:eastAsia="zh-CN"/>
              </w:rPr>
              <w:t>履约保证金</w:t>
            </w:r>
            <w:r>
              <w:rPr>
                <w:rFonts w:hint="eastAsia" w:ascii="宋体" w:hAnsi="宋体" w:cs="宋体"/>
                <w:bCs/>
                <w:color w:val="000000"/>
                <w:sz w:val="22"/>
                <w:szCs w:val="22"/>
                <w:highlight w:val="none"/>
              </w:rPr>
              <w:t>要求：因乙方原因导致课程成绩错误，甲方有权扣除</w:t>
            </w:r>
            <w:r>
              <w:rPr>
                <w:rFonts w:hint="eastAsia" w:ascii="宋体" w:hAnsi="宋体" w:cs="宋体"/>
                <w:bCs/>
                <w:color w:val="000000"/>
                <w:sz w:val="22"/>
                <w:szCs w:val="22"/>
                <w:highlight w:val="none"/>
                <w:lang w:eastAsia="zh-CN"/>
              </w:rPr>
              <w:t>履约保证金</w:t>
            </w:r>
            <w:r>
              <w:rPr>
                <w:rFonts w:hint="eastAsia" w:ascii="宋体" w:hAnsi="宋体" w:cs="宋体"/>
                <w:bCs/>
                <w:color w:val="000000"/>
                <w:sz w:val="22"/>
                <w:szCs w:val="22"/>
                <w:highlight w:val="none"/>
              </w:rPr>
              <w:t>。乙方未按学校要求进行课程学习设置，甲方有权扣除</w:t>
            </w:r>
            <w:r>
              <w:rPr>
                <w:rFonts w:hint="eastAsia" w:ascii="宋体" w:hAnsi="宋体" w:cs="宋体"/>
                <w:bCs/>
                <w:color w:val="000000"/>
                <w:sz w:val="22"/>
                <w:szCs w:val="22"/>
                <w:highlight w:val="none"/>
                <w:lang w:eastAsia="zh-CN"/>
              </w:rPr>
              <w:t>履约保证金</w:t>
            </w:r>
            <w:r>
              <w:rPr>
                <w:rFonts w:hint="eastAsia" w:ascii="宋体" w:hAnsi="宋体" w:cs="宋体"/>
                <w:bCs/>
                <w:color w:val="000000"/>
                <w:sz w:val="22"/>
                <w:szCs w:val="22"/>
                <w:highlight w:val="none"/>
              </w:rPr>
              <w:t>。</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（2）甲方（使用部门）每学期对乙方进行考核，如发现以下情况，将对乙方处以罚金：</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（a）在合同有效期内，因乙方原因导致课程成绩错误，且错误率（错误率=成绩错误人次/选课总人数*100%）达1%，乙方应向甲方偿付罚金，罚金按错误率每1%按合同总价的5%计算，罚金不超过合同总额的20%。</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（b）在合同有效期内，乙方未按学校要求进行课程学习设置，并导致学生成绩错误达100人次，乙方应向甲方偿付罚金，罚金按每100人次按合同总价的1%计算，罚金不超过合同总额的30%。</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9.支付罚金</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（1）甲方有权从合同价款中扣除罚金，且乙方应在接到罚金通知后一周内给予确认。</w:t>
            </w:r>
          </w:p>
          <w:p>
            <w:pPr>
              <w:spacing w:line="460" w:lineRule="exact"/>
              <w:ind w:left="420" w:leftChars="200"/>
              <w:rPr>
                <w:rFonts w:hint="eastAsia" w:ascii="宋体" w:hAnsi="宋体" w:cs="宋体"/>
                <w:bCs/>
                <w:color w:val="000000"/>
                <w:sz w:val="22"/>
                <w:szCs w:val="22"/>
                <w:highlight w:val="none"/>
              </w:rPr>
            </w:pPr>
            <w:r>
              <w:rPr>
                <w:rFonts w:hint="eastAsia" w:ascii="宋体" w:hAnsi="宋体" w:cs="宋体"/>
                <w:bCs/>
                <w:color w:val="000000"/>
                <w:sz w:val="22"/>
                <w:szCs w:val="22"/>
                <w:highlight w:val="none"/>
              </w:rPr>
              <w:t>（2）甲方发生中途终止合同，应向乙方偿付违约金，违约金按合同价款5%计算。</w:t>
            </w:r>
          </w:p>
          <w:p>
            <w:pPr>
              <w:spacing w:line="360" w:lineRule="auto"/>
              <w:jc w:val="left"/>
              <w:rPr>
                <w:rFonts w:ascii="宋体" w:hAnsi="宋体"/>
                <w:color w:val="000000"/>
                <w:sz w:val="24"/>
                <w:highlight w:val="none"/>
              </w:rPr>
            </w:pPr>
          </w:p>
          <w:p>
            <w:pPr>
              <w:pStyle w:val="5"/>
              <w:rPr>
                <w:rFonts w:hint="eastAsia" w:ascii="宋体" w:hAnsi="宋体" w:cs="宋体"/>
                <w:b/>
                <w:bCs/>
                <w:color w:val="auto"/>
                <w:spacing w:val="-6"/>
                <w:sz w:val="22"/>
                <w:szCs w:val="22"/>
                <w:highlight w:val="none"/>
                <w:vertAlign w:val="baseline"/>
              </w:rPr>
            </w:pPr>
          </w:p>
        </w:tc>
      </w:tr>
    </w:tbl>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72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2"/>
    <w:basedOn w:val="1"/>
    <w:next w:val="1"/>
    <w:qFormat/>
    <w:uiPriority w:val="0"/>
    <w:pPr>
      <w:keepNext/>
      <w:keepLines/>
      <w:spacing w:before="260" w:after="260" w:line="408" w:lineRule="auto"/>
      <w:outlineLvl w:val="1"/>
    </w:pPr>
    <w:rPr>
      <w:rFonts w:ascii="Arial" w:hAnsi="Arial" w:eastAsia="黑体"/>
      <w:sz w:val="28"/>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lock Text"/>
    <w:basedOn w:val="1"/>
    <w:uiPriority w:val="0"/>
    <w:pPr>
      <w:adjustRightInd w:val="0"/>
      <w:spacing w:line="300" w:lineRule="auto"/>
      <w:ind w:left="958" w:rightChars="-120"/>
      <w:jc w:val="left"/>
    </w:pPr>
    <w:rPr>
      <w:rFonts w:ascii="宋体" w:hAnsi="宋体"/>
      <w:sz w:val="28"/>
    </w:rPr>
  </w:style>
  <w:style w:type="paragraph" w:styleId="4">
    <w:name w:val="Body Text Indent"/>
    <w:basedOn w:val="1"/>
    <w:uiPriority w:val="0"/>
    <w:pPr>
      <w:adjustRightInd w:val="0"/>
      <w:spacing w:line="360" w:lineRule="auto"/>
      <w:ind w:firstLine="490"/>
      <w:jc w:val="left"/>
    </w:pPr>
    <w:rPr>
      <w:rFonts w:ascii="宋体" w:hAnsi="宋体"/>
      <w:sz w:val="24"/>
    </w:rPr>
  </w:style>
  <w:style w:type="paragraph" w:styleId="5">
    <w:name w:val="Body Text First Indent 2"/>
    <w:basedOn w:val="4"/>
    <w:qFormat/>
    <w:uiPriority w:val="0"/>
    <w:pPr>
      <w:autoSpaceDE w:val="0"/>
      <w:autoSpaceDN w:val="0"/>
      <w:adjustRightInd w:val="0"/>
      <w:spacing w:after="120" w:line="240" w:lineRule="auto"/>
      <w:ind w:left="420" w:leftChars="200" w:firstLine="420" w:firstLineChars="200"/>
      <w:textAlignment w:val="baseline"/>
    </w:pPr>
    <w:rPr>
      <w:rFonts w:ascii="Times New Roman" w:hAnsi="Times New Roman"/>
      <w:spacing w:val="0"/>
      <w:kern w:val="0"/>
      <w:sz w:val="2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2020-11-16T08:09:17Z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