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AE4" w:rsidRPr="00491695" w:rsidRDefault="00880AE4" w:rsidP="00880AE4">
      <w:pPr>
        <w:spacing w:line="360" w:lineRule="auto"/>
        <w:jc w:val="center"/>
        <w:rPr>
          <w:rFonts w:ascii="宋体" w:hAnsi="宋体" w:cs="宋体"/>
          <w:b/>
          <w:bCs/>
          <w:sz w:val="28"/>
          <w:szCs w:val="28"/>
        </w:rPr>
      </w:pPr>
      <w:r w:rsidRPr="00491695">
        <w:rPr>
          <w:rFonts w:ascii="宋体" w:hAnsi="宋体" w:cs="宋体" w:hint="eastAsia"/>
          <w:b/>
          <w:bCs/>
          <w:sz w:val="28"/>
          <w:szCs w:val="28"/>
        </w:rPr>
        <w:t>第三部分 采购需求</w:t>
      </w:r>
    </w:p>
    <w:p w:rsidR="00880AE4" w:rsidRDefault="00880AE4" w:rsidP="00880AE4">
      <w:pPr>
        <w:snapToGrid w:val="0"/>
        <w:spacing w:line="360" w:lineRule="exact"/>
        <w:rPr>
          <w:rFonts w:ascii="宋体" w:hAnsi="宋体" w:cs="宋体"/>
          <w:b/>
          <w:bCs/>
          <w:spacing w:val="-6"/>
          <w:sz w:val="22"/>
          <w:szCs w:val="22"/>
        </w:rPr>
      </w:pPr>
      <w:r>
        <w:rPr>
          <w:rFonts w:ascii="宋体" w:hAnsi="宋体" w:cs="宋体" w:hint="eastAsia"/>
          <w:b/>
          <w:bCs/>
          <w:spacing w:val="-6"/>
          <w:sz w:val="22"/>
          <w:szCs w:val="22"/>
        </w:rPr>
        <w:t>一、采购内容及数量</w:t>
      </w:r>
    </w:p>
    <w:tbl>
      <w:tblPr>
        <w:tblW w:w="0" w:type="auto"/>
        <w:jc w:val="center"/>
        <w:tblLayout w:type="fixed"/>
        <w:tblLook w:val="0000"/>
      </w:tblPr>
      <w:tblGrid>
        <w:gridCol w:w="1038"/>
        <w:gridCol w:w="3201"/>
        <w:gridCol w:w="1559"/>
        <w:gridCol w:w="1843"/>
        <w:gridCol w:w="1685"/>
      </w:tblGrid>
      <w:tr w:rsidR="00880AE4" w:rsidRPr="00E40B3A" w:rsidTr="00095065">
        <w:trPr>
          <w:trHeight w:val="454"/>
          <w:jc w:val="center"/>
        </w:trPr>
        <w:tc>
          <w:tcPr>
            <w:tcW w:w="1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80AE4" w:rsidRPr="00E40B3A" w:rsidRDefault="00880AE4" w:rsidP="00095065">
            <w:pPr>
              <w:spacing w:line="370" w:lineRule="exact"/>
              <w:jc w:val="center"/>
              <w:rPr>
                <w:rFonts w:ascii="宋体" w:hAnsi="宋体" w:cs="宋体"/>
                <w:sz w:val="22"/>
                <w:szCs w:val="22"/>
              </w:rPr>
            </w:pPr>
            <w:r w:rsidRPr="00E40B3A">
              <w:rPr>
                <w:rFonts w:ascii="宋体" w:hAnsi="宋体" w:cs="宋体" w:hint="eastAsia"/>
                <w:sz w:val="22"/>
                <w:szCs w:val="22"/>
              </w:rPr>
              <w:t>序号</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80AE4" w:rsidRPr="00E40B3A" w:rsidRDefault="00880AE4" w:rsidP="00095065">
            <w:pPr>
              <w:spacing w:line="340" w:lineRule="exact"/>
              <w:jc w:val="center"/>
              <w:rPr>
                <w:rFonts w:ascii="宋体" w:hAnsi="宋体" w:cs="宋体"/>
                <w:sz w:val="22"/>
                <w:szCs w:val="22"/>
              </w:rPr>
            </w:pPr>
            <w:r w:rsidRPr="00E40B3A">
              <w:rPr>
                <w:rFonts w:ascii="宋体" w:hAnsi="宋体" w:cs="宋体" w:hint="eastAsia"/>
                <w:sz w:val="22"/>
                <w:szCs w:val="22"/>
              </w:rPr>
              <w:t>项目内容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80AE4" w:rsidRPr="00E40B3A" w:rsidRDefault="00880AE4" w:rsidP="00095065">
            <w:pPr>
              <w:spacing w:line="340" w:lineRule="exact"/>
              <w:jc w:val="center"/>
              <w:rPr>
                <w:rFonts w:ascii="宋体" w:hAnsi="宋体" w:cs="宋体"/>
                <w:sz w:val="22"/>
                <w:szCs w:val="22"/>
              </w:rPr>
            </w:pPr>
            <w:r w:rsidRPr="00E40B3A">
              <w:rPr>
                <w:rFonts w:ascii="宋体" w:hAnsi="宋体" w:cs="宋体" w:hint="eastAsia"/>
                <w:sz w:val="22"/>
                <w:szCs w:val="22"/>
              </w:rPr>
              <w:t xml:space="preserve">数量 </w:t>
            </w: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880AE4" w:rsidRPr="00E40B3A" w:rsidRDefault="00880AE4" w:rsidP="00095065">
            <w:pPr>
              <w:spacing w:line="370" w:lineRule="exact"/>
              <w:jc w:val="center"/>
              <w:rPr>
                <w:rFonts w:ascii="宋体" w:hAnsi="宋体" w:cs="宋体"/>
                <w:sz w:val="22"/>
                <w:szCs w:val="22"/>
              </w:rPr>
            </w:pPr>
            <w:r w:rsidRPr="00E40B3A">
              <w:rPr>
                <w:rFonts w:ascii="宋体" w:hAnsi="宋体" w:cs="宋体" w:hint="eastAsia"/>
                <w:sz w:val="22"/>
                <w:szCs w:val="22"/>
              </w:rPr>
              <w:t>预算金额(元)</w:t>
            </w:r>
          </w:p>
        </w:tc>
        <w:tc>
          <w:tcPr>
            <w:tcW w:w="1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880AE4" w:rsidRPr="00E40B3A" w:rsidRDefault="00880AE4" w:rsidP="00095065">
            <w:pPr>
              <w:spacing w:line="370" w:lineRule="exact"/>
              <w:jc w:val="center"/>
              <w:rPr>
                <w:rFonts w:ascii="宋体" w:hAnsi="宋体" w:cs="宋体"/>
                <w:sz w:val="22"/>
                <w:szCs w:val="22"/>
              </w:rPr>
            </w:pPr>
            <w:r w:rsidRPr="00E40B3A">
              <w:rPr>
                <w:rFonts w:ascii="宋体" w:hAnsi="宋体" w:cs="宋体" w:hint="eastAsia"/>
                <w:sz w:val="22"/>
                <w:szCs w:val="22"/>
              </w:rPr>
              <w:t>备注</w:t>
            </w:r>
          </w:p>
        </w:tc>
      </w:tr>
      <w:tr w:rsidR="007578D4" w:rsidRPr="00E40B3A" w:rsidTr="00095065">
        <w:trPr>
          <w:trHeight w:val="454"/>
          <w:jc w:val="center"/>
        </w:trPr>
        <w:tc>
          <w:tcPr>
            <w:tcW w:w="10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sz w:val="22"/>
                <w:szCs w:val="22"/>
              </w:rPr>
            </w:pPr>
            <w:r w:rsidRPr="00E40B3A">
              <w:rPr>
                <w:rFonts w:ascii="宋体" w:hAnsi="宋体" w:cs="宋体" w:hint="eastAsia"/>
                <w:sz w:val="22"/>
                <w:szCs w:val="22"/>
              </w:rPr>
              <w:t>1</w:t>
            </w:r>
          </w:p>
        </w:tc>
        <w:tc>
          <w:tcPr>
            <w:tcW w:w="32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sz w:val="22"/>
                <w:szCs w:val="22"/>
              </w:rPr>
            </w:pPr>
            <w:r w:rsidRPr="00E40B3A">
              <w:rPr>
                <w:rFonts w:ascii="宋体" w:hAnsi="宋体" w:hint="eastAsia"/>
                <w:bCs/>
                <w:color w:val="000000"/>
                <w:sz w:val="22"/>
                <w:szCs w:val="22"/>
              </w:rPr>
              <w:t>基于组件的大学物理仿真实验</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7578D4" w:rsidRPr="00E40B3A" w:rsidRDefault="007578D4" w:rsidP="00095065">
            <w:pPr>
              <w:spacing w:line="340" w:lineRule="exact"/>
              <w:jc w:val="center"/>
              <w:rPr>
                <w:rFonts w:ascii="宋体" w:hAnsi="宋体" w:cs="宋体"/>
                <w:sz w:val="22"/>
                <w:szCs w:val="22"/>
              </w:rPr>
            </w:pPr>
            <w:r w:rsidRPr="00E40B3A">
              <w:rPr>
                <w:rFonts w:ascii="宋体" w:hAnsi="宋体" w:cs="宋体" w:hint="eastAsia"/>
                <w:sz w:val="22"/>
                <w:szCs w:val="22"/>
              </w:rPr>
              <w:t>2套</w:t>
            </w:r>
          </w:p>
        </w:tc>
        <w:tc>
          <w:tcPr>
            <w:tcW w:w="1843"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sz w:val="22"/>
                <w:szCs w:val="22"/>
              </w:rPr>
            </w:pPr>
            <w:r w:rsidRPr="00E40B3A">
              <w:rPr>
                <w:rFonts w:ascii="宋体" w:hAnsi="宋体" w:cs="宋体" w:hint="eastAsia"/>
                <w:sz w:val="22"/>
                <w:szCs w:val="22"/>
              </w:rPr>
              <w:t>188000.00</w:t>
            </w:r>
          </w:p>
        </w:tc>
        <w:tc>
          <w:tcPr>
            <w:tcW w:w="1685" w:type="dxa"/>
            <w:vMerge w:val="restart"/>
            <w:tcBorders>
              <w:top w:val="single" w:sz="4" w:space="0" w:color="000000"/>
              <w:left w:val="single" w:sz="4" w:space="0" w:color="auto"/>
              <w:right w:val="single" w:sz="4" w:space="0" w:color="auto"/>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sz w:val="22"/>
                <w:szCs w:val="22"/>
              </w:rPr>
            </w:pPr>
            <w:r w:rsidRPr="00E40B3A">
              <w:rPr>
                <w:rFonts w:ascii="宋体" w:hAnsi="宋体" w:cs="宋体" w:hint="eastAsia"/>
                <w:kern w:val="0"/>
                <w:sz w:val="22"/>
                <w:szCs w:val="22"/>
              </w:rPr>
              <w:t xml:space="preserve"> </w:t>
            </w:r>
          </w:p>
        </w:tc>
      </w:tr>
      <w:tr w:rsidR="007578D4" w:rsidRPr="00E40B3A" w:rsidTr="00095065">
        <w:trPr>
          <w:trHeight w:val="454"/>
          <w:jc w:val="center"/>
        </w:trPr>
        <w:tc>
          <w:tcPr>
            <w:tcW w:w="10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sz w:val="22"/>
                <w:szCs w:val="22"/>
              </w:rPr>
            </w:pPr>
            <w:r w:rsidRPr="00E40B3A">
              <w:rPr>
                <w:rFonts w:ascii="宋体" w:hAnsi="宋体" w:cs="宋体" w:hint="eastAsia"/>
                <w:sz w:val="22"/>
                <w:szCs w:val="22"/>
              </w:rPr>
              <w:t>2</w:t>
            </w:r>
          </w:p>
        </w:tc>
        <w:tc>
          <w:tcPr>
            <w:tcW w:w="3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sz w:val="22"/>
                <w:szCs w:val="22"/>
              </w:rPr>
            </w:pPr>
            <w:r w:rsidRPr="00E40B3A">
              <w:rPr>
                <w:rFonts w:ascii="宋体" w:hAnsi="宋体" w:cs="宋体" w:hint="eastAsia"/>
                <w:sz w:val="22"/>
                <w:szCs w:val="22"/>
              </w:rPr>
              <w:t>实验报告自动评阅系统</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578D4" w:rsidRPr="00E40B3A" w:rsidRDefault="007578D4" w:rsidP="00095065">
            <w:pPr>
              <w:spacing w:line="340" w:lineRule="exact"/>
              <w:jc w:val="center"/>
              <w:rPr>
                <w:rFonts w:ascii="宋体" w:hAnsi="宋体" w:cs="宋体"/>
                <w:sz w:val="22"/>
                <w:szCs w:val="22"/>
              </w:rPr>
            </w:pPr>
            <w:r w:rsidRPr="00E40B3A">
              <w:rPr>
                <w:rFonts w:ascii="宋体" w:hAnsi="宋体" w:cs="宋体" w:hint="eastAsia"/>
                <w:sz w:val="22"/>
                <w:szCs w:val="22"/>
              </w:rPr>
              <w:t>1套</w:t>
            </w:r>
          </w:p>
        </w:tc>
        <w:tc>
          <w:tcPr>
            <w:tcW w:w="1843" w:type="dxa"/>
            <w:vMerge/>
            <w:tcBorders>
              <w:left w:val="single" w:sz="4" w:space="0" w:color="000000"/>
              <w:right w:val="single" w:sz="4" w:space="0" w:color="auto"/>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sz w:val="22"/>
                <w:szCs w:val="22"/>
              </w:rPr>
            </w:pPr>
          </w:p>
        </w:tc>
        <w:tc>
          <w:tcPr>
            <w:tcW w:w="1685" w:type="dxa"/>
            <w:vMerge/>
            <w:tcBorders>
              <w:left w:val="single" w:sz="4" w:space="0" w:color="auto"/>
              <w:right w:val="single" w:sz="4" w:space="0" w:color="auto"/>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kern w:val="0"/>
                <w:sz w:val="22"/>
                <w:szCs w:val="22"/>
              </w:rPr>
            </w:pPr>
          </w:p>
        </w:tc>
      </w:tr>
      <w:tr w:rsidR="007578D4" w:rsidRPr="00E40B3A" w:rsidTr="00095065">
        <w:trPr>
          <w:trHeight w:val="454"/>
          <w:jc w:val="center"/>
        </w:trPr>
        <w:tc>
          <w:tcPr>
            <w:tcW w:w="10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sz w:val="22"/>
                <w:szCs w:val="22"/>
              </w:rPr>
            </w:pPr>
            <w:r w:rsidRPr="00E40B3A">
              <w:rPr>
                <w:rFonts w:ascii="宋体" w:hAnsi="宋体" w:cs="宋体" w:hint="eastAsia"/>
                <w:sz w:val="22"/>
                <w:szCs w:val="22"/>
              </w:rPr>
              <w:t>3</w:t>
            </w:r>
          </w:p>
        </w:tc>
        <w:tc>
          <w:tcPr>
            <w:tcW w:w="32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sz w:val="22"/>
                <w:szCs w:val="22"/>
              </w:rPr>
            </w:pPr>
            <w:r w:rsidRPr="00E40B3A">
              <w:rPr>
                <w:rFonts w:ascii="宋体" w:hAnsi="宋体" w:cs="宋体" w:hint="eastAsia"/>
                <w:sz w:val="22"/>
                <w:szCs w:val="22"/>
              </w:rPr>
              <w:t>物理实验资源库系统</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7578D4" w:rsidRPr="00E40B3A" w:rsidRDefault="007578D4" w:rsidP="00095065">
            <w:pPr>
              <w:spacing w:line="340" w:lineRule="exact"/>
              <w:jc w:val="center"/>
              <w:rPr>
                <w:rFonts w:ascii="宋体" w:hAnsi="宋体" w:cs="宋体"/>
                <w:sz w:val="22"/>
                <w:szCs w:val="22"/>
              </w:rPr>
            </w:pPr>
            <w:r w:rsidRPr="00E40B3A">
              <w:rPr>
                <w:rFonts w:ascii="宋体" w:hAnsi="宋体" w:cs="宋体" w:hint="eastAsia"/>
                <w:sz w:val="22"/>
                <w:szCs w:val="22"/>
              </w:rPr>
              <w:t>1套</w:t>
            </w:r>
          </w:p>
        </w:tc>
        <w:tc>
          <w:tcPr>
            <w:tcW w:w="1843"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sz w:val="22"/>
                <w:szCs w:val="22"/>
              </w:rPr>
            </w:pPr>
          </w:p>
        </w:tc>
        <w:tc>
          <w:tcPr>
            <w:tcW w:w="1685"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rsidR="007578D4" w:rsidRPr="00E40B3A" w:rsidRDefault="007578D4" w:rsidP="00095065">
            <w:pPr>
              <w:spacing w:line="370" w:lineRule="exact"/>
              <w:jc w:val="center"/>
              <w:rPr>
                <w:rFonts w:ascii="宋体" w:hAnsi="宋体" w:cs="宋体"/>
                <w:kern w:val="0"/>
                <w:sz w:val="22"/>
                <w:szCs w:val="22"/>
              </w:rPr>
            </w:pPr>
          </w:p>
        </w:tc>
      </w:tr>
    </w:tbl>
    <w:p w:rsidR="00880AE4" w:rsidRPr="00E40B3A" w:rsidRDefault="00880AE4" w:rsidP="00880AE4">
      <w:pPr>
        <w:snapToGrid w:val="0"/>
        <w:spacing w:line="360" w:lineRule="exact"/>
        <w:outlineLvl w:val="0"/>
        <w:rPr>
          <w:rFonts w:ascii="宋体" w:hAnsi="宋体" w:cs="宋体"/>
          <w:b/>
          <w:spacing w:val="-6"/>
          <w:sz w:val="22"/>
          <w:szCs w:val="22"/>
        </w:rPr>
      </w:pPr>
      <w:r w:rsidRPr="00E40B3A">
        <w:rPr>
          <w:rFonts w:ascii="宋体" w:hAnsi="宋体" w:cs="宋体" w:hint="eastAsia"/>
          <w:b/>
          <w:bCs/>
          <w:kern w:val="0"/>
          <w:sz w:val="22"/>
          <w:szCs w:val="22"/>
        </w:rPr>
        <w:t>二、</w:t>
      </w:r>
      <w:r w:rsidRPr="00E40B3A">
        <w:rPr>
          <w:rFonts w:ascii="宋体" w:hAnsi="宋体" w:cs="宋体" w:hint="eastAsia"/>
          <w:b/>
          <w:spacing w:val="-6"/>
          <w:sz w:val="22"/>
          <w:szCs w:val="22"/>
        </w:rPr>
        <w:t>商务要求（技术要求里另有注明的以技术要求为准）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191"/>
        <w:gridCol w:w="8080"/>
      </w:tblGrid>
      <w:tr w:rsidR="00880AE4" w:rsidRPr="00E40B3A" w:rsidTr="00095065">
        <w:trPr>
          <w:trHeight w:val="454"/>
          <w:jc w:val="center"/>
        </w:trPr>
        <w:tc>
          <w:tcPr>
            <w:tcW w:w="1191" w:type="dxa"/>
            <w:tcBorders>
              <w:top w:val="single" w:sz="4" w:space="0" w:color="auto"/>
              <w:left w:val="single" w:sz="4" w:space="0" w:color="auto"/>
              <w:bottom w:val="single" w:sz="4" w:space="0" w:color="auto"/>
              <w:right w:val="single" w:sz="4" w:space="0" w:color="auto"/>
            </w:tcBorders>
            <w:vAlign w:val="center"/>
          </w:tcPr>
          <w:p w:rsidR="00880AE4" w:rsidRPr="00E40B3A" w:rsidRDefault="00880AE4" w:rsidP="00095065">
            <w:pPr>
              <w:spacing w:line="288" w:lineRule="auto"/>
              <w:jc w:val="center"/>
              <w:rPr>
                <w:rFonts w:ascii="宋体" w:hAnsi="宋体" w:cs="宋体"/>
                <w:sz w:val="22"/>
                <w:szCs w:val="22"/>
              </w:rPr>
            </w:pPr>
            <w:r w:rsidRPr="00E40B3A">
              <w:rPr>
                <w:rFonts w:ascii="宋体" w:hAnsi="宋体" w:cs="宋体" w:hint="eastAsia"/>
                <w:kern w:val="0"/>
                <w:sz w:val="22"/>
                <w:szCs w:val="22"/>
                <w:u w:val="single"/>
              </w:rPr>
              <w:t>▲</w:t>
            </w:r>
            <w:r w:rsidRPr="00E40B3A">
              <w:rPr>
                <w:rFonts w:ascii="宋体" w:hAnsi="宋体" w:cs="宋体" w:hint="eastAsia"/>
                <w:sz w:val="22"/>
                <w:szCs w:val="22"/>
                <w:u w:val="single"/>
              </w:rPr>
              <w:t>付款条件</w:t>
            </w:r>
          </w:p>
        </w:tc>
        <w:tc>
          <w:tcPr>
            <w:tcW w:w="8080" w:type="dxa"/>
            <w:tcBorders>
              <w:top w:val="single" w:sz="4" w:space="0" w:color="auto"/>
              <w:left w:val="single" w:sz="4" w:space="0" w:color="auto"/>
              <w:bottom w:val="single" w:sz="4" w:space="0" w:color="auto"/>
              <w:right w:val="single" w:sz="4" w:space="0" w:color="auto"/>
            </w:tcBorders>
            <w:vAlign w:val="center"/>
          </w:tcPr>
          <w:p w:rsidR="00880AE4" w:rsidRPr="00E40B3A" w:rsidRDefault="00880AE4" w:rsidP="00095065">
            <w:pPr>
              <w:spacing w:line="288" w:lineRule="auto"/>
              <w:jc w:val="left"/>
              <w:rPr>
                <w:rFonts w:ascii="宋体" w:hAnsi="宋体" w:cs="宋体"/>
                <w:sz w:val="22"/>
                <w:szCs w:val="22"/>
              </w:rPr>
            </w:pPr>
            <w:r w:rsidRPr="00E40B3A">
              <w:rPr>
                <w:rFonts w:ascii="宋体" w:hAnsi="宋体" w:cs="宋体" w:hint="eastAsia"/>
                <w:sz w:val="22"/>
                <w:szCs w:val="22"/>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增值税专用发票）；履约保证金自验收合格之日，一年后无质量问题，资产管理处收到使用部门填写的验收单后7个工作日内无息退还。</w:t>
            </w:r>
          </w:p>
        </w:tc>
      </w:tr>
      <w:tr w:rsidR="00880AE4" w:rsidRPr="00E40B3A" w:rsidTr="00095065">
        <w:trPr>
          <w:trHeight w:val="454"/>
          <w:jc w:val="center"/>
        </w:trPr>
        <w:tc>
          <w:tcPr>
            <w:tcW w:w="1191" w:type="dxa"/>
            <w:tcBorders>
              <w:top w:val="single" w:sz="4" w:space="0" w:color="auto"/>
              <w:left w:val="single" w:sz="4" w:space="0" w:color="auto"/>
              <w:bottom w:val="single" w:sz="4" w:space="0" w:color="auto"/>
              <w:right w:val="single" w:sz="4" w:space="0" w:color="auto"/>
            </w:tcBorders>
            <w:vAlign w:val="center"/>
          </w:tcPr>
          <w:p w:rsidR="00880AE4" w:rsidRPr="00E40B3A" w:rsidRDefault="00880AE4" w:rsidP="00095065">
            <w:pPr>
              <w:spacing w:line="288" w:lineRule="auto"/>
              <w:jc w:val="left"/>
              <w:rPr>
                <w:rFonts w:ascii="宋体" w:hAnsi="宋体" w:cs="宋体"/>
                <w:sz w:val="22"/>
                <w:szCs w:val="22"/>
              </w:rPr>
            </w:pPr>
            <w:r w:rsidRPr="00E40B3A">
              <w:rPr>
                <w:rFonts w:ascii="宋体" w:hAnsi="宋体" w:cs="宋体" w:hint="eastAsia"/>
                <w:sz w:val="22"/>
                <w:szCs w:val="22"/>
              </w:rPr>
              <w:t>质保期</w:t>
            </w:r>
          </w:p>
        </w:tc>
        <w:tc>
          <w:tcPr>
            <w:tcW w:w="8080" w:type="dxa"/>
            <w:tcBorders>
              <w:top w:val="single" w:sz="4" w:space="0" w:color="auto"/>
              <w:left w:val="single" w:sz="4" w:space="0" w:color="auto"/>
              <w:bottom w:val="single" w:sz="4" w:space="0" w:color="auto"/>
              <w:right w:val="single" w:sz="4" w:space="0" w:color="auto"/>
            </w:tcBorders>
            <w:vAlign w:val="center"/>
          </w:tcPr>
          <w:p w:rsidR="00880AE4" w:rsidRPr="00E40B3A" w:rsidRDefault="00880AE4" w:rsidP="00095065">
            <w:pPr>
              <w:spacing w:line="288" w:lineRule="auto"/>
              <w:jc w:val="left"/>
              <w:rPr>
                <w:rFonts w:ascii="宋体" w:hAnsi="宋体" w:cs="宋体"/>
                <w:sz w:val="22"/>
                <w:szCs w:val="22"/>
              </w:rPr>
            </w:pPr>
            <w:r>
              <w:rPr>
                <w:rFonts w:ascii="宋体" w:hAnsi="宋体" w:cs="宋体" w:hint="eastAsia"/>
                <w:sz w:val="22"/>
                <w:szCs w:val="22"/>
              </w:rPr>
              <w:t>自验收合格之日起</w:t>
            </w:r>
            <w:r w:rsidRPr="00E40B3A">
              <w:rPr>
                <w:rFonts w:ascii="宋体" w:hAnsi="宋体" w:cs="宋体" w:hint="eastAsia"/>
                <w:sz w:val="22"/>
                <w:szCs w:val="22"/>
              </w:rPr>
              <w:t>三年</w:t>
            </w:r>
            <w:r>
              <w:rPr>
                <w:rFonts w:ascii="宋体" w:hAnsi="宋体" w:cs="宋体" w:hint="eastAsia"/>
                <w:sz w:val="22"/>
                <w:szCs w:val="22"/>
              </w:rPr>
              <w:t>。</w:t>
            </w:r>
          </w:p>
        </w:tc>
      </w:tr>
      <w:tr w:rsidR="00880AE4" w:rsidRPr="00E40B3A" w:rsidTr="00095065">
        <w:trPr>
          <w:trHeight w:val="454"/>
          <w:jc w:val="center"/>
        </w:trPr>
        <w:tc>
          <w:tcPr>
            <w:tcW w:w="1191" w:type="dxa"/>
            <w:tcBorders>
              <w:top w:val="single" w:sz="4" w:space="0" w:color="auto"/>
              <w:left w:val="single" w:sz="4" w:space="0" w:color="auto"/>
              <w:bottom w:val="single" w:sz="4" w:space="0" w:color="auto"/>
              <w:right w:val="single" w:sz="4" w:space="0" w:color="auto"/>
            </w:tcBorders>
            <w:vAlign w:val="center"/>
          </w:tcPr>
          <w:p w:rsidR="00880AE4" w:rsidRPr="00E40B3A" w:rsidRDefault="00880AE4" w:rsidP="00095065">
            <w:pPr>
              <w:spacing w:line="288" w:lineRule="auto"/>
              <w:jc w:val="center"/>
              <w:rPr>
                <w:rFonts w:ascii="宋体" w:hAnsi="宋体" w:cs="宋体"/>
                <w:sz w:val="22"/>
                <w:szCs w:val="22"/>
              </w:rPr>
            </w:pPr>
            <w:r w:rsidRPr="00E40B3A">
              <w:rPr>
                <w:rFonts w:ascii="宋体" w:hAnsi="宋体" w:cs="宋体" w:hint="eastAsia"/>
                <w:sz w:val="22"/>
                <w:szCs w:val="22"/>
              </w:rPr>
              <w:t>交付时间</w:t>
            </w:r>
          </w:p>
        </w:tc>
        <w:tc>
          <w:tcPr>
            <w:tcW w:w="8080" w:type="dxa"/>
            <w:tcBorders>
              <w:top w:val="single" w:sz="4" w:space="0" w:color="auto"/>
              <w:left w:val="single" w:sz="4" w:space="0" w:color="auto"/>
              <w:bottom w:val="single" w:sz="4" w:space="0" w:color="auto"/>
              <w:right w:val="single" w:sz="4" w:space="0" w:color="auto"/>
            </w:tcBorders>
            <w:vAlign w:val="center"/>
          </w:tcPr>
          <w:p w:rsidR="00880AE4" w:rsidRPr="00E40B3A" w:rsidRDefault="00880AE4" w:rsidP="00095065">
            <w:pPr>
              <w:spacing w:line="288" w:lineRule="auto"/>
              <w:jc w:val="left"/>
              <w:rPr>
                <w:rFonts w:ascii="宋体" w:hAnsi="宋体" w:cs="宋体"/>
                <w:bCs/>
                <w:kern w:val="0"/>
                <w:sz w:val="22"/>
                <w:szCs w:val="22"/>
              </w:rPr>
            </w:pPr>
            <w:r w:rsidRPr="00E40B3A">
              <w:rPr>
                <w:rFonts w:ascii="宋体" w:hAnsi="宋体" w:cs="宋体" w:hint="eastAsia"/>
                <w:bCs/>
                <w:kern w:val="0"/>
                <w:sz w:val="22"/>
                <w:szCs w:val="22"/>
              </w:rPr>
              <w:t>接到</w:t>
            </w:r>
            <w:r w:rsidRPr="000D4BED">
              <w:rPr>
                <w:rFonts w:ascii="宋体" w:hAnsi="宋体" w:cs="宋体" w:hint="eastAsia"/>
                <w:sz w:val="22"/>
                <w:szCs w:val="22"/>
              </w:rPr>
              <w:t>通知后10个工作内。</w:t>
            </w:r>
          </w:p>
        </w:tc>
      </w:tr>
      <w:tr w:rsidR="00880AE4" w:rsidRPr="00E40B3A" w:rsidTr="00095065">
        <w:trPr>
          <w:trHeight w:val="454"/>
          <w:jc w:val="center"/>
        </w:trPr>
        <w:tc>
          <w:tcPr>
            <w:tcW w:w="1191" w:type="dxa"/>
            <w:tcBorders>
              <w:top w:val="single" w:sz="4" w:space="0" w:color="auto"/>
              <w:left w:val="single" w:sz="4" w:space="0" w:color="auto"/>
              <w:bottom w:val="single" w:sz="4" w:space="0" w:color="auto"/>
              <w:right w:val="single" w:sz="4" w:space="0" w:color="auto"/>
            </w:tcBorders>
            <w:vAlign w:val="center"/>
          </w:tcPr>
          <w:p w:rsidR="00880AE4" w:rsidRPr="00E40B3A" w:rsidRDefault="00880AE4" w:rsidP="00095065">
            <w:pPr>
              <w:spacing w:line="288" w:lineRule="auto"/>
              <w:jc w:val="center"/>
              <w:rPr>
                <w:rFonts w:ascii="宋体" w:hAnsi="宋体" w:cs="宋体"/>
                <w:sz w:val="22"/>
                <w:szCs w:val="22"/>
              </w:rPr>
            </w:pPr>
            <w:r w:rsidRPr="00E40B3A">
              <w:rPr>
                <w:rFonts w:ascii="宋体" w:hAnsi="宋体" w:cs="宋体" w:hint="eastAsia"/>
                <w:sz w:val="22"/>
                <w:szCs w:val="22"/>
              </w:rPr>
              <w:t>交付地点</w:t>
            </w:r>
          </w:p>
        </w:tc>
        <w:tc>
          <w:tcPr>
            <w:tcW w:w="8080" w:type="dxa"/>
            <w:tcBorders>
              <w:top w:val="single" w:sz="4" w:space="0" w:color="auto"/>
              <w:left w:val="single" w:sz="4" w:space="0" w:color="auto"/>
              <w:bottom w:val="single" w:sz="4" w:space="0" w:color="auto"/>
              <w:right w:val="single" w:sz="4" w:space="0" w:color="auto"/>
            </w:tcBorders>
            <w:vAlign w:val="center"/>
          </w:tcPr>
          <w:p w:rsidR="00880AE4" w:rsidRPr="00E40B3A" w:rsidRDefault="00880AE4" w:rsidP="00095065">
            <w:pPr>
              <w:spacing w:line="288" w:lineRule="auto"/>
              <w:jc w:val="left"/>
              <w:rPr>
                <w:rFonts w:ascii="宋体" w:hAnsi="宋体" w:cs="宋体"/>
                <w:bCs/>
                <w:kern w:val="0"/>
                <w:sz w:val="22"/>
                <w:szCs w:val="22"/>
              </w:rPr>
            </w:pPr>
            <w:r w:rsidRPr="00E40B3A">
              <w:rPr>
                <w:rFonts w:ascii="宋体" w:hAnsi="宋体" w:cs="宋体" w:hint="eastAsia"/>
                <w:sz w:val="22"/>
                <w:szCs w:val="22"/>
              </w:rPr>
              <w:t>温州职业技术学院指定地点。</w:t>
            </w:r>
          </w:p>
        </w:tc>
      </w:tr>
    </w:tbl>
    <w:p w:rsidR="00880AE4" w:rsidRDefault="00880AE4" w:rsidP="00880AE4">
      <w:pPr>
        <w:numPr>
          <w:ilvl w:val="0"/>
          <w:numId w:val="1"/>
        </w:numPr>
        <w:snapToGrid w:val="0"/>
        <w:spacing w:line="360" w:lineRule="exact"/>
        <w:rPr>
          <w:rFonts w:ascii="宋体" w:hAnsi="宋体" w:cs="宋体"/>
          <w:b/>
          <w:bCs/>
          <w:spacing w:val="-6"/>
          <w:sz w:val="22"/>
          <w:szCs w:val="22"/>
        </w:rPr>
      </w:pPr>
      <w:r>
        <w:rPr>
          <w:rFonts w:ascii="宋体" w:hAnsi="宋体" w:cs="宋体" w:hint="eastAsia"/>
          <w:b/>
          <w:bCs/>
          <w:spacing w:val="-6"/>
          <w:sz w:val="22"/>
          <w:szCs w:val="22"/>
        </w:rPr>
        <w:t>技术要求</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1213"/>
        <w:gridCol w:w="6520"/>
        <w:gridCol w:w="771"/>
      </w:tblGrid>
      <w:tr w:rsidR="00880AE4" w:rsidTr="00095065">
        <w:trPr>
          <w:trHeight w:val="397"/>
          <w:jc w:val="center"/>
        </w:trPr>
        <w:tc>
          <w:tcPr>
            <w:tcW w:w="694" w:type="dxa"/>
            <w:vAlign w:val="center"/>
          </w:tcPr>
          <w:p w:rsidR="00880AE4" w:rsidRPr="00A11E46" w:rsidRDefault="00880AE4" w:rsidP="00095065">
            <w:pPr>
              <w:spacing w:line="360" w:lineRule="exact"/>
              <w:jc w:val="center"/>
              <w:rPr>
                <w:rFonts w:ascii="宋体" w:hAnsi="宋体"/>
                <w:b/>
                <w:sz w:val="22"/>
                <w:szCs w:val="22"/>
              </w:rPr>
            </w:pPr>
            <w:r w:rsidRPr="00A11E46">
              <w:rPr>
                <w:rFonts w:ascii="宋体" w:hAnsi="宋体"/>
                <w:b/>
                <w:sz w:val="22"/>
                <w:szCs w:val="22"/>
              </w:rPr>
              <w:t>序号</w:t>
            </w:r>
          </w:p>
        </w:tc>
        <w:tc>
          <w:tcPr>
            <w:tcW w:w="1213" w:type="dxa"/>
            <w:vAlign w:val="center"/>
          </w:tcPr>
          <w:p w:rsidR="00880AE4" w:rsidRPr="00A11E46" w:rsidRDefault="00880AE4" w:rsidP="00095065">
            <w:pPr>
              <w:spacing w:line="360" w:lineRule="exact"/>
              <w:jc w:val="center"/>
              <w:rPr>
                <w:rFonts w:ascii="宋体" w:hAnsi="宋体"/>
                <w:b/>
                <w:sz w:val="22"/>
                <w:szCs w:val="22"/>
              </w:rPr>
            </w:pPr>
            <w:r w:rsidRPr="00A11E46">
              <w:rPr>
                <w:rFonts w:ascii="宋体" w:hAnsi="宋体"/>
                <w:b/>
                <w:sz w:val="22"/>
                <w:szCs w:val="22"/>
              </w:rPr>
              <w:t>货物名称</w:t>
            </w:r>
          </w:p>
        </w:tc>
        <w:tc>
          <w:tcPr>
            <w:tcW w:w="6520" w:type="dxa"/>
            <w:vAlign w:val="center"/>
          </w:tcPr>
          <w:p w:rsidR="00880AE4" w:rsidRPr="00A11E46" w:rsidRDefault="00880AE4" w:rsidP="00095065">
            <w:pPr>
              <w:spacing w:line="360" w:lineRule="exact"/>
              <w:jc w:val="center"/>
              <w:rPr>
                <w:rFonts w:ascii="宋体" w:hAnsi="宋体"/>
                <w:b/>
                <w:sz w:val="22"/>
                <w:szCs w:val="22"/>
              </w:rPr>
            </w:pPr>
            <w:r w:rsidRPr="00A11E46">
              <w:rPr>
                <w:rFonts w:ascii="宋体" w:hAnsi="宋体"/>
                <w:b/>
                <w:sz w:val="22"/>
                <w:szCs w:val="22"/>
              </w:rPr>
              <w:t>技术指标</w:t>
            </w:r>
          </w:p>
        </w:tc>
        <w:tc>
          <w:tcPr>
            <w:tcW w:w="771" w:type="dxa"/>
            <w:vAlign w:val="center"/>
          </w:tcPr>
          <w:p w:rsidR="00880AE4" w:rsidRPr="00A11E46" w:rsidRDefault="00880AE4" w:rsidP="00095065">
            <w:pPr>
              <w:spacing w:line="360" w:lineRule="exact"/>
              <w:jc w:val="center"/>
              <w:rPr>
                <w:rFonts w:ascii="宋体" w:hAnsi="宋体"/>
                <w:b/>
                <w:sz w:val="22"/>
                <w:szCs w:val="22"/>
              </w:rPr>
            </w:pPr>
            <w:r w:rsidRPr="00A11E46">
              <w:rPr>
                <w:rFonts w:ascii="宋体" w:hAnsi="宋体"/>
                <w:b/>
                <w:sz w:val="22"/>
                <w:szCs w:val="22"/>
              </w:rPr>
              <w:t>数量</w:t>
            </w:r>
          </w:p>
        </w:tc>
      </w:tr>
      <w:tr w:rsidR="00880AE4" w:rsidTr="00095065">
        <w:trPr>
          <w:jc w:val="center"/>
        </w:trPr>
        <w:tc>
          <w:tcPr>
            <w:tcW w:w="694" w:type="dxa"/>
            <w:vAlign w:val="center"/>
          </w:tcPr>
          <w:p w:rsidR="00880AE4" w:rsidRPr="00A11E46" w:rsidRDefault="00880AE4" w:rsidP="00095065">
            <w:pPr>
              <w:spacing w:line="360" w:lineRule="exact"/>
              <w:jc w:val="center"/>
              <w:rPr>
                <w:rFonts w:ascii="宋体" w:hAnsi="宋体"/>
                <w:sz w:val="22"/>
                <w:szCs w:val="22"/>
              </w:rPr>
            </w:pPr>
            <w:r w:rsidRPr="00A11E46">
              <w:rPr>
                <w:rFonts w:ascii="宋体" w:hAnsi="宋体" w:hint="eastAsia"/>
                <w:sz w:val="22"/>
                <w:szCs w:val="22"/>
              </w:rPr>
              <w:t>1</w:t>
            </w:r>
          </w:p>
        </w:tc>
        <w:tc>
          <w:tcPr>
            <w:tcW w:w="1213" w:type="dxa"/>
            <w:vAlign w:val="center"/>
          </w:tcPr>
          <w:p w:rsidR="00880AE4" w:rsidRPr="00E40B3A" w:rsidRDefault="00880AE4" w:rsidP="00095065">
            <w:pPr>
              <w:spacing w:line="360" w:lineRule="exact"/>
              <w:jc w:val="center"/>
              <w:rPr>
                <w:rFonts w:ascii="宋体" w:hAnsi="宋体"/>
                <w:sz w:val="22"/>
                <w:szCs w:val="22"/>
              </w:rPr>
            </w:pPr>
            <w:r w:rsidRPr="00E40B3A">
              <w:rPr>
                <w:rFonts w:ascii="宋体" w:hAnsi="宋体" w:hint="eastAsia"/>
                <w:bCs/>
                <w:color w:val="000000"/>
                <w:sz w:val="22"/>
                <w:szCs w:val="22"/>
              </w:rPr>
              <w:t>基于组件的大学物理仿真实验</w:t>
            </w:r>
          </w:p>
        </w:tc>
        <w:tc>
          <w:tcPr>
            <w:tcW w:w="6520" w:type="dxa"/>
          </w:tcPr>
          <w:p w:rsidR="00880AE4" w:rsidRPr="00E40B3A" w:rsidRDefault="00880AE4" w:rsidP="00095065">
            <w:pPr>
              <w:spacing w:line="360" w:lineRule="exact"/>
              <w:rPr>
                <w:rFonts w:ascii="宋体" w:hAnsi="宋体"/>
                <w:b/>
                <w:bCs/>
                <w:sz w:val="22"/>
                <w:szCs w:val="22"/>
              </w:rPr>
            </w:pPr>
            <w:r w:rsidRPr="00E40B3A">
              <w:rPr>
                <w:rFonts w:ascii="宋体" w:hAnsi="宋体" w:hint="eastAsia"/>
                <w:b/>
                <w:bCs/>
                <w:sz w:val="22"/>
                <w:szCs w:val="22"/>
              </w:rPr>
              <w:t>（1）</w:t>
            </w:r>
            <w:r w:rsidRPr="00E40B3A">
              <w:rPr>
                <w:rFonts w:ascii="宋体" w:hAnsi="宋体" w:hint="eastAsia"/>
                <w:bCs/>
                <w:color w:val="000000"/>
                <w:sz w:val="22"/>
                <w:szCs w:val="22"/>
              </w:rPr>
              <w:t>基于组件的大学物理仿真实验</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一、产品功能要求：</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1.可定制实验方案，灵活组合实验仪器。</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2.可以自主选择不同的实验仪器完成相同的实验内容。</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3.实验结果可以体现不同实验操作导致的实验误差。</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4.实验操作体验要尽可能贴近真实实验操作。</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5.具有统计分析功能，能够分析学生使用仿真实验的时间、次数等。</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6.应用全新的ＷＰＦ技术开发，提供全新真实的实验操作体验。</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7.不限制用户登录节点数，满足5000人同时在线学习。</w:t>
            </w:r>
          </w:p>
          <w:p w:rsidR="00880AE4" w:rsidRPr="00E40B3A" w:rsidRDefault="00880AE4" w:rsidP="00095065">
            <w:pPr>
              <w:spacing w:line="360" w:lineRule="exact"/>
              <w:rPr>
                <w:rFonts w:ascii="宋体" w:hAnsi="宋体"/>
                <w:sz w:val="22"/>
                <w:szCs w:val="22"/>
              </w:rPr>
            </w:pPr>
            <w:r w:rsidRPr="00E40B3A">
              <w:rPr>
                <w:rFonts w:ascii="宋体" w:hAnsi="宋体" w:hint="eastAsia"/>
                <w:b/>
                <w:sz w:val="22"/>
                <w:szCs w:val="22"/>
              </w:rPr>
              <w:t>★</w:t>
            </w:r>
            <w:r w:rsidRPr="00E40B3A">
              <w:rPr>
                <w:rFonts w:ascii="宋体" w:hAnsi="宋体" w:hint="eastAsia"/>
                <w:sz w:val="22"/>
                <w:szCs w:val="22"/>
              </w:rPr>
              <w:t>二、主要产品包括：</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共包含20个电磁学、电学和光学的仿真实验：（1）动态磁滞回线的测量、（2）霍尔效应实验、（3）示波器实验、（4）双臂电桥测低电阻实验、（5）检流计的特性研究、（6）交流电桥、（7）交流谐振电路及介电常数测量、（8）直流电桥测量电阻（自组式和箱式）、（9）设计万用表实验、（10）整流滤波电路实验、（11）电阻应变传感器灵敏度特性研究、（12）迈克耳孙干涉仪、（13）偏振光的观察与研究、（14）分光计实验、（15）干涉法测微小量（牛顿环和尖劈）、（16）光强调制法测光速、（17）椭偏仪测折射率和薄膜厚度、（18）傅里叶光学、（19）光纤传感器实验、（20）光栅单色仪实验。</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三、需提供演示视频：</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lastRenderedPageBreak/>
              <w:t>必须含有以下大学物理仿真实验内容：光电效应和普朗克常量的测定、霍尔效应实验、直流电桥测量电阻（自组式和箱式）、示波器实验、设计万用表实验。</w:t>
            </w:r>
          </w:p>
        </w:tc>
        <w:tc>
          <w:tcPr>
            <w:tcW w:w="771" w:type="dxa"/>
            <w:vAlign w:val="center"/>
          </w:tcPr>
          <w:p w:rsidR="00880AE4" w:rsidRPr="00A11E46" w:rsidRDefault="00880AE4" w:rsidP="00095065">
            <w:pPr>
              <w:spacing w:line="360" w:lineRule="exact"/>
              <w:jc w:val="center"/>
              <w:rPr>
                <w:rFonts w:ascii="宋体" w:hAnsi="宋体"/>
                <w:sz w:val="22"/>
                <w:szCs w:val="22"/>
              </w:rPr>
            </w:pPr>
            <w:r w:rsidRPr="00A11E46">
              <w:rPr>
                <w:rFonts w:ascii="宋体" w:hAnsi="宋体"/>
                <w:sz w:val="22"/>
                <w:szCs w:val="22"/>
              </w:rPr>
              <w:lastRenderedPageBreak/>
              <w:t>2</w:t>
            </w:r>
            <w:r w:rsidRPr="00A11E46">
              <w:rPr>
                <w:rFonts w:ascii="宋体" w:hAnsi="宋体" w:hint="eastAsia"/>
                <w:sz w:val="22"/>
                <w:szCs w:val="22"/>
              </w:rPr>
              <w:t>套</w:t>
            </w:r>
          </w:p>
        </w:tc>
      </w:tr>
      <w:tr w:rsidR="00880AE4" w:rsidTr="00095065">
        <w:trPr>
          <w:jc w:val="center"/>
        </w:trPr>
        <w:tc>
          <w:tcPr>
            <w:tcW w:w="694" w:type="dxa"/>
            <w:vAlign w:val="center"/>
          </w:tcPr>
          <w:p w:rsidR="00880AE4" w:rsidRPr="00A11E46" w:rsidRDefault="00880AE4" w:rsidP="00095065">
            <w:pPr>
              <w:spacing w:line="360" w:lineRule="exact"/>
              <w:jc w:val="center"/>
              <w:rPr>
                <w:rFonts w:ascii="宋体" w:hAnsi="宋体"/>
                <w:sz w:val="22"/>
                <w:szCs w:val="22"/>
              </w:rPr>
            </w:pPr>
            <w:r w:rsidRPr="00A11E46">
              <w:rPr>
                <w:rFonts w:ascii="宋体" w:hAnsi="宋体" w:hint="eastAsia"/>
                <w:sz w:val="22"/>
                <w:szCs w:val="22"/>
              </w:rPr>
              <w:lastRenderedPageBreak/>
              <w:t>2</w:t>
            </w:r>
          </w:p>
        </w:tc>
        <w:tc>
          <w:tcPr>
            <w:tcW w:w="1213" w:type="dxa"/>
            <w:vAlign w:val="center"/>
          </w:tcPr>
          <w:p w:rsidR="00880AE4" w:rsidRPr="00E40B3A" w:rsidRDefault="00880AE4" w:rsidP="00095065">
            <w:pPr>
              <w:spacing w:line="360" w:lineRule="exact"/>
              <w:jc w:val="center"/>
              <w:rPr>
                <w:rFonts w:ascii="宋体" w:hAnsi="宋体"/>
                <w:sz w:val="22"/>
                <w:szCs w:val="22"/>
              </w:rPr>
            </w:pPr>
            <w:r w:rsidRPr="00E40B3A">
              <w:rPr>
                <w:rFonts w:ascii="宋体" w:hAnsi="宋体" w:hint="eastAsia"/>
                <w:bCs/>
                <w:color w:val="000000"/>
                <w:sz w:val="22"/>
                <w:szCs w:val="22"/>
              </w:rPr>
              <w:t>实验报告自动评阅系统</w:t>
            </w:r>
          </w:p>
        </w:tc>
        <w:tc>
          <w:tcPr>
            <w:tcW w:w="6520" w:type="dxa"/>
          </w:tcPr>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一、产品功能要求：</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1.开放的实验报告模板库，实验报告模板可定制。教师可根据本校教学特色，制定符合自身教学目标的实验报告模板，个性化强。</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2.实验报告模板的考察点、评分可由教师调整，灵活性高。</w:t>
            </w:r>
            <w:r w:rsidRPr="00E40B3A">
              <w:rPr>
                <w:rFonts w:ascii="宋体" w:hAnsi="宋体" w:hint="eastAsia"/>
                <w:sz w:val="22"/>
                <w:szCs w:val="22"/>
              </w:rPr>
              <w:br/>
              <w:t>3.提供统一分发与教师独立分发两种报告分发模式，满足不同教学管理模式需要。</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4.统一分发报告： 由系统管理员统一将实验报告模板分发给全体学生。</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5.教师独立分发报告：上课教师把实验报告模板独立分发给所负责的学生。</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6.实验报告将学生数据以图形方式显示数据，利于总结物理规律。</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7.学生完成报告中，须提交教师签字的原始数据，避免数据造假。</w:t>
            </w:r>
          </w:p>
          <w:p w:rsidR="00880AE4" w:rsidRPr="00E40B3A" w:rsidRDefault="00880AE4" w:rsidP="00095065">
            <w:pPr>
              <w:spacing w:line="360" w:lineRule="exact"/>
              <w:rPr>
                <w:rFonts w:ascii="宋体" w:hAnsi="宋体"/>
                <w:sz w:val="22"/>
                <w:szCs w:val="22"/>
              </w:rPr>
            </w:pPr>
            <w:r w:rsidRPr="00E40B3A">
              <w:rPr>
                <w:rFonts w:ascii="宋体" w:hAnsi="宋体" w:hint="eastAsia"/>
                <w:b/>
                <w:sz w:val="22"/>
                <w:szCs w:val="22"/>
              </w:rPr>
              <w:t>★</w:t>
            </w:r>
            <w:r w:rsidRPr="00E40B3A">
              <w:rPr>
                <w:rFonts w:ascii="宋体" w:hAnsi="宋体" w:hint="eastAsia"/>
                <w:sz w:val="22"/>
                <w:szCs w:val="22"/>
              </w:rPr>
              <w:t>8.实验报告自动评阅系统提供仿真实验数据接口，可与仿真实验数据交互。教师可制定与仿真实验配套的实验报告模板。学生完成报告时，可通过报告上实验内容呼叫对应仿真实验，完成仿真实验后，学生数据和标准数据自动传送到报告中。</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9.实验报告自动评阅系统根据报告，自动建立教师-学生-实验报告的关联，可满足学生自主选课的教学要求。</w:t>
            </w:r>
          </w:p>
          <w:p w:rsidR="00880AE4" w:rsidRPr="00E40B3A" w:rsidRDefault="00880AE4" w:rsidP="00095065">
            <w:pPr>
              <w:spacing w:line="360" w:lineRule="exact"/>
              <w:rPr>
                <w:rFonts w:ascii="宋体" w:hAnsi="宋体"/>
                <w:sz w:val="22"/>
                <w:szCs w:val="22"/>
              </w:rPr>
            </w:pPr>
            <w:r w:rsidRPr="00E40B3A">
              <w:rPr>
                <w:rFonts w:ascii="宋体" w:hAnsi="宋体" w:hint="eastAsia"/>
                <w:b/>
                <w:sz w:val="22"/>
                <w:szCs w:val="22"/>
              </w:rPr>
              <w:t>★</w:t>
            </w:r>
            <w:r w:rsidRPr="00E40B3A">
              <w:rPr>
                <w:rFonts w:ascii="宋体" w:hAnsi="宋体" w:hint="eastAsia"/>
                <w:sz w:val="22"/>
                <w:szCs w:val="22"/>
              </w:rPr>
              <w:t>10.学生提交报告后，系统根据考察点和评判规则，自动评判数据处理部分，机评分数可由教师手动调整。实验总结、思考题部分由教师人工评阅。在保证报告评阅质量前提下，降低了教师劳动强度，有利于教师发现、总结教学问题，提高教学水平。</w:t>
            </w:r>
          </w:p>
          <w:p w:rsidR="00880AE4" w:rsidRPr="00E40B3A" w:rsidRDefault="00880AE4" w:rsidP="00095065">
            <w:pPr>
              <w:spacing w:line="360" w:lineRule="exact"/>
              <w:rPr>
                <w:rFonts w:ascii="宋体" w:hAnsi="宋体"/>
                <w:sz w:val="22"/>
                <w:szCs w:val="22"/>
              </w:rPr>
            </w:pPr>
            <w:bookmarkStart w:id="0" w:name="_GoBack"/>
            <w:bookmarkEnd w:id="0"/>
            <w:r w:rsidRPr="00E40B3A">
              <w:rPr>
                <w:rFonts w:ascii="宋体" w:hAnsi="宋体" w:hint="eastAsia"/>
                <w:sz w:val="22"/>
                <w:szCs w:val="22"/>
              </w:rPr>
              <w:t>11.教师可设置学生递交报告期限，系统自动提示超期提交报告。教师可手动调整超期报告成绩。</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12.系统自动统计报告成绩，并可长期保存、批量导出，提供了教学资料的方便管理。</w:t>
            </w:r>
          </w:p>
          <w:p w:rsidR="00880AE4" w:rsidRPr="00E40B3A" w:rsidRDefault="00880AE4" w:rsidP="00095065">
            <w:pPr>
              <w:spacing w:line="360" w:lineRule="exact"/>
              <w:rPr>
                <w:rFonts w:ascii="宋体" w:hAnsi="宋体"/>
                <w:sz w:val="22"/>
                <w:szCs w:val="22"/>
              </w:rPr>
            </w:pPr>
            <w:r w:rsidRPr="00E40B3A">
              <w:rPr>
                <w:rFonts w:ascii="宋体" w:hAnsi="宋体" w:hint="eastAsia"/>
                <w:b/>
                <w:sz w:val="22"/>
                <w:szCs w:val="22"/>
              </w:rPr>
              <w:t>★</w:t>
            </w:r>
            <w:r w:rsidRPr="00E40B3A">
              <w:rPr>
                <w:rFonts w:ascii="宋体" w:hAnsi="宋体" w:hint="eastAsia"/>
                <w:sz w:val="22"/>
                <w:szCs w:val="22"/>
              </w:rPr>
              <w:t>13.系统内置实验报告模版，需要有10个实验项目的实验报告模板：（1）交流谐振电路及介电常数的测量、（2）不良导体热导率的测量、（3）双臂电桥测低电阻实验、（4）动态磁滞回线的测量、（5）示波器实验、（6）分光计实验、（7）偏振光的观察与研究、（8）干涉法测微小量（牛顿环和尖劈）、（9）检流计的特性研究、（10）直流电桥测量电阻（自组式和箱式）。</w:t>
            </w:r>
          </w:p>
        </w:tc>
        <w:tc>
          <w:tcPr>
            <w:tcW w:w="771" w:type="dxa"/>
            <w:vAlign w:val="center"/>
          </w:tcPr>
          <w:p w:rsidR="00880AE4" w:rsidRPr="00A11E46" w:rsidRDefault="00880AE4" w:rsidP="00095065">
            <w:pPr>
              <w:spacing w:line="360" w:lineRule="exact"/>
              <w:jc w:val="center"/>
              <w:rPr>
                <w:rFonts w:ascii="宋体" w:hAnsi="宋体"/>
                <w:sz w:val="22"/>
                <w:szCs w:val="22"/>
              </w:rPr>
            </w:pPr>
            <w:r w:rsidRPr="00A11E46">
              <w:rPr>
                <w:rFonts w:ascii="宋体" w:hAnsi="宋体" w:hint="eastAsia"/>
                <w:sz w:val="22"/>
                <w:szCs w:val="22"/>
              </w:rPr>
              <w:t>1套</w:t>
            </w:r>
          </w:p>
        </w:tc>
      </w:tr>
      <w:tr w:rsidR="00880AE4" w:rsidTr="00095065">
        <w:trPr>
          <w:jc w:val="center"/>
        </w:trPr>
        <w:tc>
          <w:tcPr>
            <w:tcW w:w="694" w:type="dxa"/>
            <w:vAlign w:val="center"/>
          </w:tcPr>
          <w:p w:rsidR="00880AE4" w:rsidRPr="00A11E46" w:rsidRDefault="00880AE4" w:rsidP="00095065">
            <w:pPr>
              <w:spacing w:line="360" w:lineRule="exact"/>
              <w:jc w:val="center"/>
              <w:rPr>
                <w:rFonts w:ascii="宋体" w:hAnsi="宋体"/>
                <w:sz w:val="22"/>
                <w:szCs w:val="22"/>
              </w:rPr>
            </w:pPr>
            <w:r w:rsidRPr="00A11E46">
              <w:rPr>
                <w:rFonts w:ascii="宋体" w:hAnsi="宋体" w:hint="eastAsia"/>
                <w:sz w:val="22"/>
                <w:szCs w:val="22"/>
              </w:rPr>
              <w:t>3</w:t>
            </w:r>
          </w:p>
        </w:tc>
        <w:tc>
          <w:tcPr>
            <w:tcW w:w="1213" w:type="dxa"/>
            <w:vAlign w:val="center"/>
          </w:tcPr>
          <w:p w:rsidR="00880AE4" w:rsidRPr="00E40B3A" w:rsidRDefault="00880AE4" w:rsidP="00095065">
            <w:pPr>
              <w:spacing w:line="360" w:lineRule="exact"/>
              <w:jc w:val="center"/>
              <w:rPr>
                <w:rFonts w:ascii="宋体" w:hAnsi="宋体"/>
                <w:sz w:val="22"/>
                <w:szCs w:val="22"/>
              </w:rPr>
            </w:pPr>
            <w:r w:rsidRPr="00E40B3A">
              <w:rPr>
                <w:rFonts w:ascii="宋体" w:hAnsi="宋体" w:hint="eastAsia"/>
                <w:bCs/>
                <w:color w:val="000000"/>
                <w:sz w:val="22"/>
                <w:szCs w:val="22"/>
              </w:rPr>
              <w:t>物理实验资源库系统</w:t>
            </w:r>
          </w:p>
        </w:tc>
        <w:tc>
          <w:tcPr>
            <w:tcW w:w="6520" w:type="dxa"/>
          </w:tcPr>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一、产品功能要求：</w:t>
            </w:r>
          </w:p>
          <w:p w:rsidR="00880AE4" w:rsidRPr="00E40B3A" w:rsidRDefault="00880AE4" w:rsidP="00095065">
            <w:pPr>
              <w:spacing w:line="360" w:lineRule="exact"/>
              <w:rPr>
                <w:rFonts w:ascii="宋体" w:hAnsi="宋体"/>
                <w:sz w:val="22"/>
                <w:szCs w:val="22"/>
              </w:rPr>
            </w:pPr>
            <w:r w:rsidRPr="00E40B3A">
              <w:rPr>
                <w:rFonts w:ascii="宋体" w:hAnsi="宋体" w:hint="eastAsia"/>
                <w:b/>
                <w:sz w:val="22"/>
                <w:szCs w:val="22"/>
              </w:rPr>
              <w:t>★</w:t>
            </w:r>
            <w:r w:rsidRPr="00E40B3A">
              <w:rPr>
                <w:rFonts w:ascii="宋体" w:hAnsi="宋体" w:hint="eastAsia"/>
                <w:sz w:val="22"/>
                <w:szCs w:val="22"/>
              </w:rPr>
              <w:t>1.资源大厅：根据实验项目分类展示实验资源信息，用户可以精确搜索资源，并查看详细和下载资源，同时可以浏览</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资源下载排名等信息。</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2.资源检索：按照分类检索条件，检索资源，资源以类型分类展示</w:t>
            </w:r>
            <w:r w:rsidRPr="00E40B3A">
              <w:rPr>
                <w:rFonts w:ascii="宋体" w:hAnsi="宋体" w:hint="eastAsia"/>
                <w:sz w:val="22"/>
                <w:szCs w:val="22"/>
              </w:rPr>
              <w:lastRenderedPageBreak/>
              <w:t>等。</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3.资源类型配置：设置资源类型信息，便于用户上传资源归属分类，便于用户分类浏览。</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4.资源水印配置：设置水印信息，将用户上传的资源进行有效的水印标记，有效保护资源的知识产权。</w:t>
            </w:r>
          </w:p>
          <w:p w:rsidR="00880AE4" w:rsidRPr="00E40B3A" w:rsidRDefault="00880AE4" w:rsidP="00095065">
            <w:pPr>
              <w:spacing w:line="360" w:lineRule="exact"/>
              <w:rPr>
                <w:rFonts w:ascii="宋体" w:hAnsi="宋体"/>
                <w:sz w:val="22"/>
                <w:szCs w:val="22"/>
              </w:rPr>
            </w:pPr>
            <w:r w:rsidRPr="00E40B3A">
              <w:rPr>
                <w:rFonts w:ascii="宋体" w:hAnsi="宋体" w:hint="eastAsia"/>
                <w:b/>
                <w:sz w:val="22"/>
                <w:szCs w:val="22"/>
              </w:rPr>
              <w:t>★</w:t>
            </w:r>
            <w:r w:rsidRPr="00E40B3A">
              <w:rPr>
                <w:rFonts w:ascii="宋体" w:hAnsi="宋体" w:hint="eastAsia"/>
                <w:sz w:val="22"/>
                <w:szCs w:val="22"/>
              </w:rPr>
              <w:t>5.资源库管理：教师上传、编辑、删除自己上传的资源，构建资源库系统的核心内容。</w:t>
            </w:r>
          </w:p>
          <w:p w:rsidR="00880AE4" w:rsidRPr="00E40B3A" w:rsidRDefault="00880AE4" w:rsidP="00095065">
            <w:pPr>
              <w:spacing w:line="360" w:lineRule="exact"/>
              <w:rPr>
                <w:rFonts w:ascii="宋体" w:hAnsi="宋体"/>
                <w:sz w:val="22"/>
                <w:szCs w:val="22"/>
              </w:rPr>
            </w:pPr>
            <w:r w:rsidRPr="00E40B3A">
              <w:rPr>
                <w:rFonts w:ascii="宋体" w:hAnsi="宋体" w:hint="eastAsia"/>
                <w:sz w:val="22"/>
                <w:szCs w:val="22"/>
              </w:rPr>
              <w:t>6.实验项目管理：管理系统的实验项目基本信息，供资源归属绑定，便于用户前台精确检索、浏览。</w:t>
            </w:r>
          </w:p>
          <w:p w:rsidR="00880AE4" w:rsidRPr="00E40B3A" w:rsidRDefault="00880AE4" w:rsidP="00095065">
            <w:pPr>
              <w:spacing w:line="360" w:lineRule="exact"/>
              <w:rPr>
                <w:rFonts w:ascii="宋体" w:hAnsi="宋体"/>
                <w:sz w:val="22"/>
                <w:szCs w:val="22"/>
                <w:u w:val="single"/>
              </w:rPr>
            </w:pPr>
            <w:r w:rsidRPr="00E40B3A">
              <w:rPr>
                <w:rFonts w:ascii="宋体" w:hAnsi="宋体" w:hint="eastAsia"/>
                <w:b/>
                <w:sz w:val="22"/>
                <w:szCs w:val="22"/>
              </w:rPr>
              <w:t>★</w:t>
            </w:r>
            <w:r w:rsidRPr="00E40B3A">
              <w:rPr>
                <w:rFonts w:ascii="宋体" w:hAnsi="宋体" w:hint="eastAsia"/>
                <w:sz w:val="22"/>
                <w:szCs w:val="22"/>
              </w:rPr>
              <w:t>7.资源利用率统计：统计资源的下载量，并进行图形展示，为知名资源评定提供强有力的依据。</w:t>
            </w:r>
          </w:p>
        </w:tc>
        <w:tc>
          <w:tcPr>
            <w:tcW w:w="771" w:type="dxa"/>
            <w:vAlign w:val="center"/>
          </w:tcPr>
          <w:p w:rsidR="00880AE4" w:rsidRPr="00A11E46" w:rsidRDefault="00880AE4" w:rsidP="00095065">
            <w:pPr>
              <w:spacing w:line="360" w:lineRule="exact"/>
              <w:jc w:val="center"/>
              <w:rPr>
                <w:rFonts w:ascii="宋体" w:hAnsi="宋体"/>
                <w:sz w:val="22"/>
                <w:szCs w:val="22"/>
              </w:rPr>
            </w:pPr>
            <w:r w:rsidRPr="00A11E46">
              <w:rPr>
                <w:rFonts w:ascii="宋体" w:hAnsi="宋体" w:hint="eastAsia"/>
                <w:sz w:val="22"/>
                <w:szCs w:val="22"/>
              </w:rPr>
              <w:lastRenderedPageBreak/>
              <w:t>1套</w:t>
            </w:r>
          </w:p>
        </w:tc>
      </w:tr>
    </w:tbl>
    <w:p w:rsidR="00880AE4" w:rsidRDefault="00880AE4" w:rsidP="00880AE4">
      <w:pPr>
        <w:pStyle w:val="2"/>
        <w:ind w:leftChars="0" w:left="0" w:firstLineChars="0" w:firstLine="0"/>
        <w:rPr>
          <w:rFonts w:ascii="宋体" w:hAnsi="宋体" w:cs="宋体"/>
          <w:b/>
          <w:bCs/>
          <w:spacing w:val="-6"/>
          <w:sz w:val="22"/>
          <w:szCs w:val="22"/>
        </w:rPr>
      </w:pPr>
    </w:p>
    <w:p w:rsidR="00880AE4" w:rsidRDefault="00880AE4" w:rsidP="00880AE4">
      <w:pPr>
        <w:spacing w:line="360" w:lineRule="exact"/>
        <w:rPr>
          <w:rFonts w:ascii="宋体" w:hAnsi="宋体" w:cs="宋体"/>
          <w:b/>
          <w:bCs/>
          <w:sz w:val="22"/>
          <w:szCs w:val="22"/>
        </w:rPr>
      </w:pPr>
      <w:r>
        <w:rPr>
          <w:rFonts w:ascii="宋体" w:hAnsi="宋体" w:cs="宋体" w:hint="eastAsia"/>
          <w:b/>
          <w:spacing w:val="-6"/>
          <w:sz w:val="22"/>
          <w:szCs w:val="22"/>
        </w:rPr>
        <w:t>四、其他</w:t>
      </w:r>
    </w:p>
    <w:p w:rsidR="00880AE4" w:rsidRDefault="00880AE4" w:rsidP="00880AE4">
      <w:pPr>
        <w:spacing w:line="360" w:lineRule="exact"/>
        <w:ind w:firstLineChars="200" w:firstLine="418"/>
        <w:rPr>
          <w:rFonts w:ascii="宋体" w:hAnsi="宋体" w:cs="宋体"/>
          <w:b/>
          <w:spacing w:val="-6"/>
          <w:sz w:val="22"/>
          <w:szCs w:val="22"/>
        </w:rPr>
      </w:pPr>
      <w:r>
        <w:rPr>
          <w:rFonts w:ascii="宋体" w:hAnsi="宋体" w:cs="宋体" w:hint="eastAsia"/>
          <w:b/>
          <w:spacing w:val="-6"/>
          <w:sz w:val="22"/>
          <w:szCs w:val="22"/>
        </w:rPr>
        <w:t>1、标“</w:t>
      </w:r>
      <w:r w:rsidRPr="00C37DB4">
        <w:rPr>
          <w:rFonts w:ascii="宋体" w:hAnsi="宋体" w:hint="eastAsia"/>
          <w:b/>
          <w:sz w:val="22"/>
          <w:szCs w:val="22"/>
        </w:rPr>
        <w:t>★</w:t>
      </w:r>
      <w:r>
        <w:rPr>
          <w:rFonts w:ascii="宋体" w:hAnsi="宋体" w:cs="宋体" w:hint="eastAsia"/>
          <w:b/>
          <w:spacing w:val="-6"/>
          <w:sz w:val="22"/>
          <w:szCs w:val="22"/>
        </w:rPr>
        <w:t>”</w:t>
      </w:r>
      <w:r>
        <w:rPr>
          <w:rFonts w:ascii="宋体" w:hAnsi="宋体" w:hint="eastAsia"/>
          <w:b/>
          <w:sz w:val="22"/>
          <w:szCs w:val="22"/>
        </w:rPr>
        <w:t>的为重要条款，</w:t>
      </w:r>
      <w:r>
        <w:rPr>
          <w:rFonts w:ascii="宋体" w:hAnsi="宋体" w:cs="宋体" w:hint="eastAsia"/>
          <w:b/>
          <w:spacing w:val="-6"/>
          <w:sz w:val="22"/>
          <w:szCs w:val="22"/>
        </w:rPr>
        <w:t>标“▲且加下划线”的有关技术和商务要求为实质性条款，响应方必须做出实质性响应</w:t>
      </w:r>
      <w:r>
        <w:rPr>
          <w:rFonts w:ascii="宋体" w:hAnsi="宋体" w:cs="宋体" w:hint="eastAsia"/>
          <w:b/>
          <w:bCs/>
          <w:spacing w:val="-6"/>
          <w:sz w:val="22"/>
          <w:szCs w:val="22"/>
        </w:rPr>
        <w:t>，否则视为无效响应文件。</w:t>
      </w:r>
      <w:r>
        <w:rPr>
          <w:rFonts w:ascii="宋体" w:hAnsi="宋体" w:cs="宋体" w:hint="eastAsia"/>
          <w:b/>
          <w:spacing w:val="-6"/>
          <w:sz w:val="22"/>
          <w:szCs w:val="22"/>
        </w:rPr>
        <w:t>除此之外其余的指标、服务要求以及合同条款可在磋商现场，根据磋商小组与供应商的磋商进行变动。</w:t>
      </w:r>
    </w:p>
    <w:p w:rsidR="00880AE4" w:rsidRDefault="00880AE4" w:rsidP="00880AE4">
      <w:pPr>
        <w:spacing w:line="360" w:lineRule="exact"/>
        <w:ind w:firstLineChars="200" w:firstLine="418"/>
        <w:rPr>
          <w:rFonts w:ascii="宋体" w:hAnsi="宋体" w:cs="宋体"/>
          <w:b/>
          <w:bCs/>
          <w:kern w:val="0"/>
          <w:sz w:val="22"/>
          <w:szCs w:val="22"/>
        </w:rPr>
      </w:pPr>
      <w:r>
        <w:rPr>
          <w:rFonts w:ascii="宋体" w:hAnsi="宋体" w:cs="宋体" w:hint="eastAsia"/>
          <w:b/>
          <w:spacing w:val="-6"/>
          <w:sz w:val="22"/>
          <w:szCs w:val="22"/>
        </w:rPr>
        <w:t>2、除磋商文件中所明确的采购需求规格外，欢迎其他能满足本项目采购需求且性能相当于或高于所明确的产品参加磋商报价。同时在采购需求偏离表中作出详细对比说明</w:t>
      </w:r>
      <w:r>
        <w:rPr>
          <w:rFonts w:ascii="宋体" w:hAnsi="宋体" w:cs="宋体" w:hint="eastAsia"/>
          <w:b/>
          <w:bCs/>
          <w:kern w:val="0"/>
          <w:sz w:val="22"/>
          <w:szCs w:val="22"/>
        </w:rPr>
        <w:t>。</w:t>
      </w:r>
    </w:p>
    <w:p w:rsidR="00880AE4" w:rsidRPr="00E40B3A" w:rsidRDefault="00880AE4" w:rsidP="00880AE4">
      <w:pPr>
        <w:snapToGrid w:val="0"/>
        <w:spacing w:line="360" w:lineRule="exact"/>
        <w:ind w:firstLineChars="200" w:firstLine="418"/>
        <w:jc w:val="left"/>
        <w:rPr>
          <w:rFonts w:ascii="宋体" w:hAnsi="宋体" w:cs="宋体"/>
          <w:b/>
          <w:spacing w:val="-6"/>
          <w:sz w:val="22"/>
          <w:szCs w:val="22"/>
        </w:rPr>
      </w:pPr>
      <w:r w:rsidRPr="00E40B3A">
        <w:rPr>
          <w:rFonts w:ascii="宋体" w:hAnsi="宋体" w:cs="宋体" w:hint="eastAsia"/>
          <w:b/>
          <w:spacing w:val="-6"/>
          <w:sz w:val="22"/>
          <w:szCs w:val="22"/>
        </w:rPr>
        <w:t>3.如技术部分中未特别注明需执行的国家相关标准、行业标准、地方标准或者其他标准、规范，则统一执行最新标准、规范。</w:t>
      </w:r>
    </w:p>
    <w:p w:rsidR="0084574A" w:rsidRDefault="0084574A"/>
    <w:sectPr w:rsidR="0084574A" w:rsidSect="00880AE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97B" w:rsidRDefault="0043697B" w:rsidP="00491695">
      <w:r>
        <w:separator/>
      </w:r>
    </w:p>
  </w:endnote>
  <w:endnote w:type="continuationSeparator" w:id="0">
    <w:p w:rsidR="0043697B" w:rsidRDefault="0043697B" w:rsidP="00491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97B" w:rsidRDefault="0043697B" w:rsidP="00491695">
      <w:r>
        <w:separator/>
      </w:r>
    </w:p>
  </w:footnote>
  <w:footnote w:type="continuationSeparator" w:id="0">
    <w:p w:rsidR="0043697B" w:rsidRDefault="0043697B" w:rsidP="004916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82BFD4"/>
    <w:multiLevelType w:val="singleLevel"/>
    <w:tmpl w:val="EF82BFD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0AE4"/>
    <w:rsid w:val="000C291B"/>
    <w:rsid w:val="0043697B"/>
    <w:rsid w:val="00491695"/>
    <w:rsid w:val="007578D4"/>
    <w:rsid w:val="0084574A"/>
    <w:rsid w:val="00880AE4"/>
    <w:rsid w:val="00A94792"/>
    <w:rsid w:val="00F06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0AE4"/>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Char"/>
    <w:uiPriority w:val="99"/>
    <w:semiHidden/>
    <w:unhideWhenUsed/>
    <w:rsid w:val="00880AE4"/>
    <w:pPr>
      <w:spacing w:after="120"/>
      <w:ind w:leftChars="200" w:left="420"/>
    </w:pPr>
  </w:style>
  <w:style w:type="character" w:customStyle="1" w:styleId="Char">
    <w:name w:val="正文文本缩进 Char"/>
    <w:basedOn w:val="a1"/>
    <w:link w:val="a4"/>
    <w:uiPriority w:val="99"/>
    <w:semiHidden/>
    <w:rsid w:val="00880AE4"/>
    <w:rPr>
      <w:rFonts w:ascii="Times New Roman" w:eastAsia="宋体" w:hAnsi="Times New Roman" w:cs="Times New Roman"/>
      <w:szCs w:val="20"/>
    </w:rPr>
  </w:style>
  <w:style w:type="paragraph" w:styleId="2">
    <w:name w:val="Body Text First Indent 2"/>
    <w:basedOn w:val="a4"/>
    <w:link w:val="2Char"/>
    <w:qFormat/>
    <w:rsid w:val="00880AE4"/>
    <w:pPr>
      <w:autoSpaceDE w:val="0"/>
      <w:autoSpaceDN w:val="0"/>
      <w:adjustRightInd w:val="0"/>
      <w:ind w:firstLineChars="200" w:firstLine="420"/>
      <w:jc w:val="left"/>
      <w:textAlignment w:val="baseline"/>
    </w:pPr>
    <w:rPr>
      <w:kern w:val="0"/>
      <w:sz w:val="28"/>
    </w:rPr>
  </w:style>
  <w:style w:type="character" w:customStyle="1" w:styleId="2Char">
    <w:name w:val="正文首行缩进 2 Char"/>
    <w:basedOn w:val="Char"/>
    <w:link w:val="2"/>
    <w:rsid w:val="00880AE4"/>
    <w:rPr>
      <w:kern w:val="0"/>
      <w:sz w:val="28"/>
    </w:rPr>
  </w:style>
  <w:style w:type="paragraph" w:styleId="a0">
    <w:name w:val="Block Text"/>
    <w:basedOn w:val="a"/>
    <w:uiPriority w:val="99"/>
    <w:semiHidden/>
    <w:unhideWhenUsed/>
    <w:rsid w:val="00880AE4"/>
    <w:pPr>
      <w:spacing w:after="120"/>
      <w:ind w:leftChars="700" w:left="1440" w:rightChars="700" w:right="1440"/>
    </w:pPr>
  </w:style>
  <w:style w:type="paragraph" w:styleId="a5">
    <w:name w:val="header"/>
    <w:basedOn w:val="a"/>
    <w:link w:val="Char0"/>
    <w:uiPriority w:val="99"/>
    <w:semiHidden/>
    <w:unhideWhenUsed/>
    <w:rsid w:val="004916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semiHidden/>
    <w:rsid w:val="00491695"/>
    <w:rPr>
      <w:rFonts w:ascii="Times New Roman" w:eastAsia="宋体" w:hAnsi="Times New Roman" w:cs="Times New Roman"/>
      <w:sz w:val="18"/>
      <w:szCs w:val="18"/>
    </w:rPr>
  </w:style>
  <w:style w:type="paragraph" w:styleId="a6">
    <w:name w:val="footer"/>
    <w:basedOn w:val="a"/>
    <w:link w:val="Char1"/>
    <w:uiPriority w:val="99"/>
    <w:semiHidden/>
    <w:unhideWhenUsed/>
    <w:rsid w:val="00491695"/>
    <w:pPr>
      <w:tabs>
        <w:tab w:val="center" w:pos="4153"/>
        <w:tab w:val="right" w:pos="8306"/>
      </w:tabs>
      <w:snapToGrid w:val="0"/>
      <w:jc w:val="left"/>
    </w:pPr>
    <w:rPr>
      <w:sz w:val="18"/>
      <w:szCs w:val="18"/>
    </w:rPr>
  </w:style>
  <w:style w:type="character" w:customStyle="1" w:styleId="Char1">
    <w:name w:val="页脚 Char"/>
    <w:basedOn w:val="a1"/>
    <w:link w:val="a6"/>
    <w:uiPriority w:val="99"/>
    <w:semiHidden/>
    <w:rsid w:val="0049169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2020-11-04T06:38:00Z</dcterms:created>
  <dcterms:modified xsi:type="dcterms:W3CDTF">2020-11-04T07:02:00Z</dcterms:modified>
</cp:coreProperties>
</file>