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2" w:firstLineChars="20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采购需求</w:t>
      </w:r>
    </w:p>
    <w:p>
      <w:pPr>
        <w:snapToGrid w:val="0"/>
        <w:spacing w:line="360" w:lineRule="exact"/>
        <w:rPr>
          <w:rFonts w:hint="eastAsia"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一、采购内容及数量</w:t>
      </w:r>
    </w:p>
    <w:tbl>
      <w:tblPr>
        <w:tblStyle w:val="8"/>
        <w:tblW w:w="0" w:type="auto"/>
        <w:jc w:val="center"/>
        <w:tblLayout w:type="fixed"/>
        <w:tblCellMar>
          <w:top w:w="0" w:type="dxa"/>
          <w:left w:w="108" w:type="dxa"/>
          <w:bottom w:w="0" w:type="dxa"/>
          <w:right w:w="108" w:type="dxa"/>
        </w:tblCellMar>
      </w:tblPr>
      <w:tblGrid>
        <w:gridCol w:w="1038"/>
        <w:gridCol w:w="3059"/>
        <w:gridCol w:w="1701"/>
        <w:gridCol w:w="1403"/>
        <w:gridCol w:w="2125"/>
      </w:tblGrid>
      <w:tr>
        <w:tblPrEx>
          <w:tblCellMar>
            <w:top w:w="0" w:type="dxa"/>
            <w:left w:w="108" w:type="dxa"/>
            <w:bottom w:w="0" w:type="dxa"/>
            <w:right w:w="108" w:type="dxa"/>
          </w:tblCellMar>
        </w:tblPrEx>
        <w:trPr>
          <w:trHeight w:val="90"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序号</w:t>
            </w:r>
          </w:p>
        </w:tc>
        <w:tc>
          <w:tcPr>
            <w:tcW w:w="30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项目内容</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数量 </w:t>
            </w:r>
          </w:p>
        </w:tc>
        <w:tc>
          <w:tcPr>
            <w:tcW w:w="1403"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预算金额(元)</w:t>
            </w:r>
          </w:p>
        </w:tc>
        <w:tc>
          <w:tcPr>
            <w:tcW w:w="2125"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备注</w:t>
            </w:r>
          </w:p>
        </w:tc>
      </w:tr>
      <w:tr>
        <w:tblPrEx>
          <w:tblCellMar>
            <w:top w:w="0" w:type="dxa"/>
            <w:left w:w="108" w:type="dxa"/>
            <w:bottom w:w="0" w:type="dxa"/>
            <w:right w:w="108" w:type="dxa"/>
          </w:tblCellMar>
        </w:tblPrEx>
        <w:trPr>
          <w:trHeight w:val="709"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30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电子商务数据分析应用实训系统</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bCs/>
                <w:color w:val="auto"/>
                <w:kern w:val="0"/>
                <w:sz w:val="22"/>
                <w:highlight w:val="none"/>
              </w:rPr>
              <w:t xml:space="preserve">1批 </w:t>
            </w:r>
          </w:p>
        </w:tc>
        <w:tc>
          <w:tcPr>
            <w:tcW w:w="1403"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228000.00</w:t>
            </w:r>
          </w:p>
        </w:tc>
        <w:tc>
          <w:tcPr>
            <w:tcW w:w="2125"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w:t>
            </w:r>
          </w:p>
        </w:tc>
      </w:tr>
    </w:tbl>
    <w:p>
      <w:pPr>
        <w:snapToGrid w:val="0"/>
        <w:spacing w:line="360" w:lineRule="exact"/>
        <w:outlineLvl w:val="0"/>
        <w:rPr>
          <w:rFonts w:hint="eastAsia" w:ascii="宋体" w:hAnsi="宋体" w:cs="宋体"/>
          <w:b/>
          <w:color w:val="auto"/>
          <w:spacing w:val="-6"/>
          <w:sz w:val="22"/>
          <w:szCs w:val="22"/>
          <w:highlight w:val="none"/>
        </w:rPr>
      </w:pPr>
      <w:r>
        <w:rPr>
          <w:rFonts w:hint="eastAsia" w:ascii="宋体" w:hAnsi="宋体" w:cs="宋体"/>
          <w:b/>
          <w:bCs/>
          <w:color w:val="auto"/>
          <w:kern w:val="0"/>
          <w:sz w:val="22"/>
          <w:szCs w:val="22"/>
          <w:highlight w:val="none"/>
        </w:rPr>
        <w:t>二、</w:t>
      </w:r>
      <w:r>
        <w:rPr>
          <w:rFonts w:hint="eastAsia" w:ascii="宋体" w:hAnsi="宋体" w:cs="宋体"/>
          <w:b/>
          <w:color w:val="auto"/>
          <w:spacing w:val="-6"/>
          <w:sz w:val="22"/>
          <w:szCs w:val="22"/>
          <w:highlight w:val="none"/>
        </w:rPr>
        <w:t>商务要求（技术要求里另有注明的以技术要求为准）</w:t>
      </w:r>
    </w:p>
    <w:tbl>
      <w:tblPr>
        <w:tblStyle w:val="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1"/>
        <w:gridCol w:w="8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color w:val="auto"/>
                <w:sz w:val="22"/>
                <w:szCs w:val="22"/>
                <w:highlight w:val="none"/>
              </w:rPr>
            </w:pPr>
            <w:r>
              <w:rPr>
                <w:rFonts w:ascii="宋体" w:hAnsi="宋体" w:cs="宋体"/>
                <w:color w:val="auto"/>
                <w:kern w:val="0"/>
                <w:sz w:val="22"/>
                <w:szCs w:val="22"/>
                <w:highlight w:val="none"/>
                <w:u w:val="single"/>
              </w:rPr>
              <w:t>▲</w:t>
            </w:r>
            <w:r>
              <w:rPr>
                <w:rFonts w:hint="eastAsia" w:ascii="宋体" w:hAnsi="宋体" w:cs="宋体"/>
                <w:color w:val="auto"/>
                <w:sz w:val="22"/>
                <w:szCs w:val="22"/>
                <w:highlight w:val="none"/>
                <w:u w:val="single"/>
              </w:rPr>
              <w:t>付款条件</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u w:val="single"/>
              </w:rPr>
              <w:t>本合同签订后卖方向买方支付合同价款的5%作为履约保证金；卖方完成全部供货及安装、调试、培训并通过买方验收，买方入库报销后15个工作日内，买方向卖方支付100%合同价款（卖方必须先开具合同金额100%的正式</w:t>
            </w:r>
            <w:r>
              <w:rPr>
                <w:rFonts w:hint="eastAsia" w:ascii="宋体" w:hAnsi="宋体" w:cs="宋体"/>
                <w:color w:val="auto"/>
                <w:sz w:val="22"/>
                <w:szCs w:val="22"/>
                <w:highlight w:val="none"/>
                <w:u w:val="single"/>
                <w:lang w:eastAsia="zh-CN"/>
              </w:rPr>
              <w:t>增值税专用</w:t>
            </w:r>
            <w:r>
              <w:rPr>
                <w:rFonts w:hint="eastAsia" w:ascii="宋体" w:hAnsi="宋体" w:cs="宋体"/>
                <w:color w:val="auto"/>
                <w:sz w:val="22"/>
                <w:szCs w:val="22"/>
                <w:highlight w:val="none"/>
                <w:u w:val="single"/>
              </w:rPr>
              <w:t>发票）；履约保证金自验收合格之日，一年后无质量问题，资产管理处收到使用部门填写的验收单后7个工作日内</w:t>
            </w:r>
            <w:r>
              <w:rPr>
                <w:rFonts w:hint="eastAsia" w:ascii="宋体" w:hAnsi="宋体" w:cs="宋体"/>
                <w:color w:val="auto"/>
                <w:sz w:val="22"/>
                <w:szCs w:val="22"/>
                <w:highlight w:val="none"/>
                <w:u w:val="single"/>
                <w:lang w:eastAsia="zh-CN"/>
              </w:rPr>
              <w:t>无息退还</w:t>
            </w:r>
            <w:r>
              <w:rPr>
                <w:rFonts w:hint="eastAsia" w:ascii="宋体" w:hAnsi="宋体" w:cs="宋体"/>
                <w:color w:val="auto"/>
                <w:sz w:val="22"/>
                <w:szCs w:val="22"/>
                <w:highlight w:val="none"/>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质保期</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软件部分要求6年免费升级，无论质保期内还是质保期外24小时内完成维修或更换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交付时间</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bCs/>
                <w:color w:val="auto"/>
                <w:kern w:val="0"/>
                <w:sz w:val="22"/>
                <w:highlight w:val="none"/>
              </w:rPr>
            </w:pPr>
            <w:r>
              <w:rPr>
                <w:rFonts w:hint="eastAsia" w:ascii="宋体" w:hAnsi="宋体" w:cs="宋体"/>
                <w:color w:val="auto"/>
                <w:sz w:val="22"/>
                <w:szCs w:val="22"/>
                <w:highlight w:val="none"/>
              </w:rPr>
              <w:t>合同签订</w:t>
            </w:r>
            <w:r>
              <w:rPr>
                <w:rFonts w:hint="eastAsia" w:ascii="宋体" w:hAnsi="宋体" w:cs="宋体"/>
                <w:color w:val="auto"/>
                <w:sz w:val="22"/>
                <w:szCs w:val="22"/>
                <w:highlight w:val="none"/>
                <w:lang w:eastAsia="zh-CN"/>
              </w:rPr>
              <w:t>后半</w:t>
            </w:r>
            <w:r>
              <w:rPr>
                <w:rFonts w:hint="eastAsia" w:ascii="宋体" w:hAnsi="宋体" w:cs="宋体"/>
                <w:color w:val="auto"/>
                <w:sz w:val="22"/>
                <w:szCs w:val="22"/>
                <w:highlight w:val="none"/>
              </w:rPr>
              <w:t>个月内完成交付并验收通过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交付地点</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bCs/>
                <w:color w:val="auto"/>
                <w:kern w:val="0"/>
                <w:sz w:val="22"/>
                <w:highlight w:val="none"/>
              </w:rPr>
            </w:pPr>
            <w:r>
              <w:rPr>
                <w:rFonts w:hint="eastAsia" w:ascii="宋体" w:hAnsi="宋体" w:cs="宋体"/>
                <w:color w:val="auto"/>
                <w:sz w:val="22"/>
                <w:szCs w:val="22"/>
                <w:highlight w:val="none"/>
              </w:rPr>
              <w:t>温州职业技术学院指定地点。</w:t>
            </w:r>
          </w:p>
        </w:tc>
      </w:tr>
    </w:tbl>
    <w:p>
      <w:pPr>
        <w:numPr>
          <w:ilvl w:val="0"/>
          <w:numId w:val="1"/>
        </w:numPr>
        <w:snapToGrid w:val="0"/>
        <w:spacing w:line="360" w:lineRule="exact"/>
        <w:rPr>
          <w:rFonts w:hint="eastAsia"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技术要求</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noWrap w:val="0"/>
            <w:vAlign w:val="top"/>
          </w:tcPr>
          <w:p>
            <w:pPr>
              <w:spacing w:line="360" w:lineRule="auto"/>
              <w:outlineLvl w:val="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一、系统要求</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系统自带店铺数据中心，提供市场、竞争、流量、品类、物流、服务、交易等电子商务数据，内置零食、水产肉类等一级行业类目，同时也包含各子类目如饼干/膨化、豆干制品/蔬菜干、糕点/点心、奶酪/乳制品、巧克力、生肉/肉制品、熟食/凉菜/私房菜、新鲜蔬菜/蔬菜制品、水果制品等行业数据。</w:t>
            </w:r>
          </w:p>
          <w:p>
            <w:pPr>
              <w:pStyle w:val="11"/>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★2、系统实训任务包含电子商务数据采集与处理方案制定、市场数据分析、运营数据分析、产品数据分析、数据监控与报告撰写五大模块，任务数不少于20个。（响应文件提供功能截图）</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其中市场数据分析包含行业数据分析、竞争数据分析；</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运营数据分析包含客户数据分析、推广数据分析、销售数据分析、供应链数据分析；</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产品数据分析包含产品行业数据分析、产品能力数据分析</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数据监控与报告撰写包含数据监控、数据分析报告撰写两大任务；</w:t>
            </w:r>
          </w:p>
          <w:p>
            <w:pPr>
              <w:numPr>
                <w:ilvl w:val="0"/>
                <w:numId w:val="2"/>
              </w:num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系统提供方案制作编写协助功能，提供多个数据采集与处理方案模板、数据分析报告模板，协助用户快速完成方案、报告撰写；</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全面的数据分析维度，电子商务数据分析系统涵盖电子商务数据资源库，包含客户数据库、推广数据库、销售数据库、供应链数据库、市场和竞争数据库。提供完整的数据指标分析维度。客户数据需包含客户增长率、复购率、满意度、客单价等；推广数据需包含访客数、浏览量、点击率、跳失率、收藏数、转化率、ROI等；销售数据需包含销售数量、销售金额、毛利额、毛利率等；供应链数据需包含采购单价、采购数量、采购成本、产品规格、产品库存数、存销比、SKU动销率、物流订单总数、发货订单数、揽收订单数、签收订单数、物流异常订单数、物流时效、物流好评量、物流差评量；市场竞争数据需包含市场容量、产品搜索指数、产品交易指数、目标客户群、行业发展趋势、产品销售额、转化率、客单价、营销活动、爆款产品、商品评价等；</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5、系统同时提供电子商务订单中心、关键词推广、推广活动、仓储管理、客服中心等商务操作模拟界面，可供多维度查询数据、和报表生成，进行数据分析。</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全面的数据分析情境，电子商务数据分析系统涵盖较全的数据分析应用情境，包含客户数据分析情境、推广数据分析情境、销售数据分析情境、供应链数据分析情境、市场和竞争数据分析情境。系统支持自定义情境添加；</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7、软件提供动态数据，支持数据实时监控和异常情况反馈。</w:t>
            </w:r>
          </w:p>
          <w:p>
            <w:pPr>
              <w:pStyle w:val="11"/>
              <w:spacing w:line="360" w:lineRule="exact"/>
              <w:ind w:firstLine="440" w:firstLineChars="200"/>
              <w:rPr>
                <w:rFonts w:ascii="宋体" w:cs="宋体"/>
                <w:color w:val="auto"/>
                <w:kern w:val="0"/>
                <w:sz w:val="22"/>
                <w:highlight w:val="none"/>
              </w:rPr>
            </w:pPr>
            <w:r>
              <w:rPr>
                <w:rFonts w:hint="eastAsia" w:ascii="宋体" w:hAnsi="宋体" w:eastAsia="宋体" w:cs="宋体"/>
                <w:color w:val="auto"/>
                <w:sz w:val="22"/>
                <w:szCs w:val="22"/>
                <w:highlight w:val="none"/>
              </w:rPr>
              <w:t>★8、数据分析报告撰写，提供富文本编辑器和在线表格处理工具，同时内置方案素材库，包含图表、数据表格、报告案例和模板等，可进行灵活操作和撰写。（响应文件提供功能截图）</w:t>
            </w:r>
          </w:p>
          <w:p>
            <w:pPr>
              <w:spacing w:line="360" w:lineRule="auto"/>
              <w:ind w:firstLine="440" w:firstLineChars="200"/>
              <w:rPr>
                <w:rFonts w:hint="eastAsia" w:ascii="宋体" w:hAnsi="宋体" w:eastAsia="宋体" w:cs="宋体"/>
                <w:color w:val="auto"/>
                <w:sz w:val="22"/>
                <w:szCs w:val="22"/>
                <w:highlight w:val="none"/>
              </w:rPr>
            </w:pP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9、产品采用B/S结构，在硬件能满足的条件下对客户端无限制；</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10、产品采用python数据处理，满足数据多方面处理需求；</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11、内部使用matplotlib可视化插件满足日常所需的可视化需求；</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12、自主研发在线表格处理工具，满足常用算数需求和表格处理；</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13、采用微服务架构和实现多任务级负载需求，支持不同量级用户并发需求；   </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★14、开发单位须拥有软件企业认定证书、高新企业证书、ISO9001质量体系认定证书等企业资质</w:t>
            </w:r>
            <w:r>
              <w:rPr>
                <w:rFonts w:hint="eastAsia" w:ascii="宋体" w:hAnsi="宋体" w:eastAsia="宋体" w:cs="宋体"/>
                <w:color w:val="auto"/>
                <w:sz w:val="22"/>
                <w:szCs w:val="22"/>
                <w:highlight w:val="none"/>
                <w:lang w:eastAsia="zh-CN"/>
              </w:rPr>
              <w:t>（提供复印件）</w:t>
            </w:r>
            <w:r>
              <w:rPr>
                <w:rFonts w:hint="eastAsia" w:ascii="宋体" w:hAnsi="宋体" w:eastAsia="宋体" w:cs="宋体"/>
                <w:color w:val="auto"/>
                <w:sz w:val="22"/>
                <w:szCs w:val="22"/>
                <w:highlight w:val="none"/>
              </w:rPr>
              <w:t>；</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★15、软件须有软件著作权证书；若为代理商，须提供生产厂家授权书及服务承诺书原件；</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16、软件开发单位对所提供的软件提供技术支持，同时提供全国免费售后服务400专线；</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★17、软件开发单位需有校企合作的实践经验，需要有全国电子商务职业教育校企合作服务基地资质证明。并能提供至少五家电子商务公司合作声明及至少五家电子商务专业院校合作证明。</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★18、软件开发单位提供免费的教学资源网站(包括行业资讯、经典案例、精品课程、相关PPT、教学视频、教学大纲、人才培养计划、在线实训)；（须提供网站地址及网站截图）；</w:t>
            </w:r>
          </w:p>
          <w:p>
            <w:pPr>
              <w:outlineLvl w:val="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二、功能模块</w:t>
            </w:r>
          </w:p>
          <w:p>
            <w:pPr>
              <w:spacing w:line="360" w:lineRule="auto"/>
              <w:ind w:firstLine="389" w:firstLineChars="17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（一）教师端：</w:t>
            </w:r>
          </w:p>
          <w:p>
            <w:pPr>
              <w:spacing w:line="360" w:lineRule="auto"/>
              <w:ind w:firstLine="389" w:firstLineChars="17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1、班级管理</w:t>
            </w:r>
          </w:p>
          <w:p>
            <w:pPr>
              <w:spacing w:line="360" w:lineRule="auto"/>
              <w:ind w:firstLine="389" w:firstLineChars="17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（1）查看班级：查看班级学生登录名、真实姓名、状态情况等；</w:t>
            </w:r>
          </w:p>
          <w:p>
            <w:pPr>
              <w:spacing w:line="360" w:lineRule="auto"/>
              <w:ind w:firstLine="389" w:firstLineChars="17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（2）学生状态确定：对班级学生进行激活或冻结操作；</w:t>
            </w:r>
          </w:p>
          <w:p>
            <w:pPr>
              <w:spacing w:line="360" w:lineRule="auto"/>
              <w:ind w:firstLine="389" w:firstLineChars="17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（3）编辑学生：对学生的基本信息进行修改，且可对学生密码进行重置；</w:t>
            </w:r>
          </w:p>
          <w:p>
            <w:pPr>
              <w:spacing w:line="360" w:lineRule="auto"/>
              <w:ind w:firstLine="389" w:firstLineChars="17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（4）删除学生：对已有学生进行删除操作。</w:t>
            </w:r>
          </w:p>
          <w:p>
            <w:pPr>
              <w:spacing w:line="360" w:lineRule="auto"/>
              <w:ind w:firstLine="389" w:firstLineChars="17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2、实训管理</w:t>
            </w:r>
          </w:p>
          <w:p>
            <w:pPr>
              <w:spacing w:line="360" w:lineRule="auto"/>
              <w:ind w:firstLine="389" w:firstLineChars="17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（1）创建实训</w:t>
            </w:r>
          </w:p>
          <w:p>
            <w:pPr>
              <w:spacing w:line="360" w:lineRule="auto"/>
              <w:ind w:firstLine="389" w:firstLineChars="17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（2）编辑实训</w:t>
            </w:r>
          </w:p>
          <w:p>
            <w:pPr>
              <w:spacing w:line="360" w:lineRule="auto"/>
              <w:ind w:firstLine="389" w:firstLineChars="17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（3）删除实训</w:t>
            </w:r>
          </w:p>
          <w:p>
            <w:pPr>
              <w:spacing w:line="360" w:lineRule="auto"/>
              <w:ind w:firstLine="389" w:firstLineChars="17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（4）查看实训</w:t>
            </w:r>
          </w:p>
          <w:p>
            <w:pPr>
              <w:spacing w:line="360" w:lineRule="auto"/>
              <w:ind w:firstLine="389" w:firstLineChars="17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（5）实训评价</w:t>
            </w:r>
          </w:p>
          <w:p>
            <w:pPr>
              <w:spacing w:line="360" w:lineRule="auto"/>
              <w:ind w:firstLine="389" w:firstLineChars="17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3、资源管理</w:t>
            </w:r>
          </w:p>
          <w:p>
            <w:pPr>
              <w:spacing w:line="360" w:lineRule="auto"/>
              <w:ind w:firstLine="259" w:firstLineChars="11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（1）发布、查看、编辑、删除实训任务；</w:t>
            </w:r>
          </w:p>
          <w:p>
            <w:pPr>
              <w:spacing w:line="360" w:lineRule="auto"/>
              <w:ind w:firstLine="259" w:firstLineChars="11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（2）试题配置、内容配置、资源配置；</w:t>
            </w:r>
          </w:p>
          <w:p>
            <w:pPr>
              <w:spacing w:line="360" w:lineRule="auto"/>
              <w:ind w:firstLine="259" w:firstLineChars="11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★（3）增加、编辑、删除资源模板：采集数据方案模板资源、处理数据方案模板资源、数据分析报告模板资源、数据监控报告模板资源等。</w:t>
            </w:r>
          </w:p>
          <w:p>
            <w:pPr>
              <w:spacing w:line="360" w:lineRule="auto"/>
              <w:ind w:firstLine="259" w:firstLineChars="11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（二）管理员端： </w:t>
            </w:r>
          </w:p>
          <w:p>
            <w:pPr>
              <w:spacing w:line="360" w:lineRule="auto"/>
              <w:ind w:firstLine="259" w:firstLineChars="11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（1）系统管理：基础管理、数据备份和恢复等；</w:t>
            </w:r>
          </w:p>
          <w:p>
            <w:pPr>
              <w:spacing w:line="360" w:lineRule="auto"/>
              <w:ind w:firstLine="259" w:firstLineChars="11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（2）教师管理：添加、删除、管理老师。</w:t>
            </w:r>
          </w:p>
          <w:p>
            <w:pPr>
              <w:spacing w:line="360" w:lineRule="auto"/>
              <w:ind w:firstLine="259" w:firstLineChars="11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（三）学生端：</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1、数据采集与处理方案制定：通过提供的方案框架结构、模板及案例，撰写市场数据采集与处理方案、运营数据采集与处理方案、产品数据采集与处理方案； </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2、市场数据分析：通过对目标行业发展数据分析、市场需求数据分析、目标客户分析、竞争对手竞品和竞店数据的分析，撰写数据报告，发现问题并提出解决方案；</w:t>
            </w:r>
          </w:p>
          <w:p>
            <w:pPr>
              <w:pStyle w:val="11"/>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数据监控与报告撰写：根据系统提供的数据监控中心，对运营、推广等不同类型数据进行监控，进行数据监控报表、数据跟踪报表制作并记录，鉴别数据异常并分析。根据数据分析结果，提出运营优化建议，撰写数据分析报告，包含店铺活动数据通报、市场环境分析报告、店铺运营整体分析报告等任务。（响应文件提供功能截图）</w:t>
            </w:r>
          </w:p>
          <w:p>
            <w:pPr>
              <w:pStyle w:val="7"/>
              <w:ind w:left="0" w:leftChars="0" w:firstLine="0" w:firstLineChars="0"/>
              <w:rPr>
                <w:rFonts w:hint="eastAsia" w:ascii="宋体" w:hAnsi="宋体" w:eastAsia="宋体" w:cs="宋体"/>
                <w:b/>
                <w:bCs/>
                <w:color w:val="auto"/>
                <w:spacing w:val="-6"/>
                <w:sz w:val="22"/>
                <w:szCs w:val="22"/>
                <w:highlight w:val="none"/>
                <w:vertAlign w:val="baseline"/>
                <w:lang w:eastAsia="zh-CN"/>
              </w:rPr>
            </w:pPr>
            <w:r>
              <w:rPr>
                <w:rFonts w:hint="eastAsia" w:ascii="宋体" w:hAnsi="宋体" w:eastAsia="宋体" w:cs="宋体"/>
                <w:b/>
                <w:bCs/>
                <w:color w:val="auto"/>
                <w:spacing w:val="-6"/>
                <w:sz w:val="22"/>
                <w:szCs w:val="22"/>
                <w:highlight w:val="none"/>
                <w:vertAlign w:val="baseline"/>
                <w:lang w:eastAsia="zh-CN"/>
              </w:rPr>
              <w:t>磋商现场提供演示：内容如下：</w:t>
            </w:r>
          </w:p>
          <w:p>
            <w:pPr>
              <w:widowControl/>
              <w:adjustRightInd w:val="0"/>
              <w:snapToGrid w:val="0"/>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1、软件开发单位应免费提供正常运营的校企对接公共服务外包平台，该平台可为学生提供≥600企业，≥120个真实企业任务，≥1000个岗位需求，15种以上互联网电商相关岗位。能为采购人提供平台登录账号供采购人师生使用一年而无需在采购人场所单独安装，并能提供专家在线指导。</w:t>
            </w:r>
          </w:p>
          <w:p>
            <w:pPr>
              <w:widowControl/>
              <w:adjustRightInd w:val="0"/>
              <w:snapToGrid w:val="0"/>
              <w:spacing w:line="360" w:lineRule="exac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rPr>
              <w:t>2、运营数据分析：通过对客户数据分析、推广数据分析、销售数据分析与供应链数据分析，撰写数据报告，发现问题并提出解决方案。客户数据分析包含客户分类、客户画像绘制、客户忠诚度分析、客户行为分析等任务。推广数据分析包含流量结构分析、关键词推广效果分析、活动推广效果分析等任务。销售数据分析包含交易数据分析和服务数据分析；供应链数据分析包含采购数据分析、物流数据分析和仓储数据分析</w:t>
            </w:r>
            <w:r>
              <w:rPr>
                <w:rFonts w:hint="eastAsia" w:ascii="宋体" w:hAnsi="宋体" w:cs="宋体"/>
                <w:color w:val="auto"/>
                <w:sz w:val="22"/>
                <w:szCs w:val="22"/>
                <w:highlight w:val="none"/>
                <w:lang w:eastAsia="zh-CN"/>
              </w:rPr>
              <w:t>。</w:t>
            </w:r>
          </w:p>
          <w:p>
            <w:pPr>
              <w:widowControl/>
              <w:adjustRightInd w:val="0"/>
              <w:snapToGrid w:val="0"/>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产品数据分析：结合任务情境及任务要求，进入生意参谋，针对产品搜索指数及产品交易指数进行分析。通过数据分析方法，对产品的获客能力及盈利能力进行分析，包含商品利润分析、商品SKU分析等任务，提出运营指导意见；</w:t>
            </w:r>
          </w:p>
          <w:p>
            <w:pPr>
              <w:pStyle w:val="7"/>
              <w:ind w:left="0" w:leftChars="0" w:firstLine="0" w:firstLineChars="0"/>
              <w:rPr>
                <w:rFonts w:hint="eastAsia" w:ascii="宋体" w:hAnsi="宋体" w:eastAsia="宋体" w:cs="宋体"/>
                <w:b/>
                <w:bCs/>
                <w:color w:val="auto"/>
                <w:spacing w:val="-6"/>
                <w:sz w:val="22"/>
                <w:szCs w:val="22"/>
                <w:highlight w:val="none"/>
                <w:vertAlign w:val="baseline"/>
                <w:lang w:eastAsia="zh-CN"/>
              </w:rPr>
            </w:pPr>
            <w:r>
              <w:rPr>
                <w:rFonts w:hint="eastAsia" w:ascii="宋体" w:hAnsi="宋体" w:cs="宋体"/>
                <w:color w:val="auto"/>
                <w:sz w:val="22"/>
                <w:szCs w:val="22"/>
                <w:highlight w:val="none"/>
              </w:rPr>
              <w:t>4、配套提供教材一份，视频≥115个，教学课件1份，实训≥27个，测验≥8个，试题1套，教案1份。）</w:t>
            </w:r>
          </w:p>
          <w:p>
            <w:pPr>
              <w:pStyle w:val="7"/>
              <w:rPr>
                <w:rFonts w:hint="eastAsia" w:ascii="宋体" w:hAnsi="宋体" w:eastAsia="宋体" w:cs="宋体"/>
                <w:b/>
                <w:bCs/>
                <w:color w:val="auto"/>
                <w:spacing w:val="-6"/>
                <w:sz w:val="22"/>
                <w:szCs w:val="22"/>
                <w:highlight w:val="none"/>
                <w:vertAlign w:val="baseline"/>
                <w:lang w:eastAsia="zh-CN"/>
              </w:rPr>
            </w:pPr>
          </w:p>
        </w:tc>
      </w:tr>
    </w:tbl>
    <w:p>
      <w:pPr>
        <w:pStyle w:val="7"/>
        <w:ind w:left="0" w:leftChars="0" w:firstLine="0" w:firstLineChars="0"/>
        <w:rPr>
          <w:rFonts w:hint="eastAsia" w:ascii="宋体" w:hAnsi="宋体" w:cs="宋体"/>
          <w:b/>
          <w:bCs/>
          <w:color w:val="auto"/>
          <w:spacing w:val="-6"/>
          <w:sz w:val="22"/>
          <w:szCs w:val="22"/>
          <w:highlight w:val="none"/>
        </w:rPr>
      </w:pPr>
    </w:p>
    <w:p>
      <w:pPr>
        <w:pStyle w:val="7"/>
        <w:ind w:left="0" w:leftChars="0" w:firstLine="0" w:firstLineChars="0"/>
        <w:rPr>
          <w:rFonts w:hint="eastAsia" w:ascii="宋体" w:hAnsi="宋体" w:cs="宋体"/>
          <w:b/>
          <w:bCs/>
          <w:color w:val="auto"/>
          <w:spacing w:val="-6"/>
          <w:sz w:val="22"/>
          <w:szCs w:val="22"/>
          <w:highlight w:val="none"/>
        </w:rPr>
      </w:pPr>
    </w:p>
    <w:p>
      <w:pPr>
        <w:spacing w:line="360" w:lineRule="exact"/>
        <w:rPr>
          <w:rFonts w:hint="eastAsia" w:ascii="宋体" w:hAnsi="宋体" w:cs="宋体"/>
          <w:b/>
          <w:bCs/>
          <w:color w:val="auto"/>
          <w:sz w:val="22"/>
          <w:szCs w:val="22"/>
          <w:highlight w:val="none"/>
        </w:rPr>
      </w:pPr>
      <w:r>
        <w:rPr>
          <w:rFonts w:hint="eastAsia" w:ascii="宋体" w:hAnsi="宋体" w:cs="宋体"/>
          <w:b/>
          <w:color w:val="auto"/>
          <w:spacing w:val="-6"/>
          <w:sz w:val="22"/>
          <w:szCs w:val="22"/>
          <w:highlight w:val="none"/>
        </w:rPr>
        <w:t>四、其他</w:t>
      </w:r>
    </w:p>
    <w:p>
      <w:pPr>
        <w:spacing w:line="360" w:lineRule="exact"/>
        <w:ind w:firstLine="418" w:firstLineChars="200"/>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标“▲且加下划线”的有关技术和商务要求为实质性条款，响应方必须做出实质性响应</w:t>
      </w:r>
      <w:r>
        <w:rPr>
          <w:rFonts w:hint="eastAsia" w:ascii="宋体" w:hAnsi="宋体" w:cs="宋体"/>
          <w:b/>
          <w:bCs/>
          <w:color w:val="auto"/>
          <w:spacing w:val="-6"/>
          <w:sz w:val="22"/>
          <w:szCs w:val="22"/>
          <w:highlight w:val="none"/>
        </w:rPr>
        <w:t>，否则视为无效响应文件。</w:t>
      </w:r>
      <w:r>
        <w:rPr>
          <w:rFonts w:hint="eastAsia" w:ascii="宋体" w:hAnsi="宋体" w:cs="宋体"/>
          <w:b/>
          <w:color w:val="auto"/>
          <w:spacing w:val="-6"/>
          <w:sz w:val="22"/>
          <w:szCs w:val="22"/>
          <w:highlight w:val="none"/>
        </w:rPr>
        <w:t>除此之外其余的指标、服务要求以及合同条款可在磋商现场，根据磋商小组与供应商的磋商进行变动。</w:t>
      </w:r>
    </w:p>
    <w:p>
      <w:pPr>
        <w:spacing w:line="360" w:lineRule="exact"/>
        <w:ind w:firstLine="418" w:firstLineChars="200"/>
        <w:rPr>
          <w:rFonts w:hint="eastAsia" w:ascii="宋体" w:hAnsi="宋体" w:cs="宋体"/>
          <w:b/>
          <w:bCs/>
          <w:color w:val="auto"/>
          <w:spacing w:val="-6"/>
          <w:sz w:val="22"/>
          <w:szCs w:val="22"/>
          <w:highlight w:val="none"/>
        </w:rPr>
      </w:pPr>
      <w:r>
        <w:rPr>
          <w:rFonts w:hint="eastAsia" w:ascii="宋体" w:hAnsi="宋体" w:cs="宋体"/>
          <w:b/>
          <w:color w:val="auto"/>
          <w:spacing w:val="-6"/>
          <w:sz w:val="22"/>
          <w:szCs w:val="22"/>
          <w:highlight w:val="none"/>
        </w:rPr>
        <w:t>除磋商文件中所明确的采购需求规格外，欢迎其他能满足本项目采购需求且性能相当于或高于所明确的产品参加磋商报价。同时在采购需求偏离表中作出详细对比说明</w:t>
      </w:r>
      <w:r>
        <w:rPr>
          <w:rFonts w:hint="eastAsia" w:ascii="宋体" w:hAnsi="宋体" w:cs="宋体"/>
          <w:b/>
          <w:bCs/>
          <w:color w:val="auto"/>
          <w:kern w:val="0"/>
          <w:sz w:val="22"/>
          <w:szCs w:val="22"/>
          <w:highlight w:val="none"/>
        </w:rPr>
        <w:t>。</w:t>
      </w:r>
    </w:p>
    <w:p>
      <w:pPr>
        <w:adjustRightInd w:val="0"/>
        <w:snapToGrid w:val="0"/>
        <w:spacing w:before="120" w:beforeLines="50" w:after="120" w:afterLines="50" w:line="360" w:lineRule="auto"/>
        <w:jc w:val="center"/>
        <w:outlineLvl w:val="0"/>
        <w:rPr>
          <w:rFonts w:hint="eastAsia" w:ascii="宋体" w:hAnsi="宋体" w:cs="宋体"/>
          <w:b/>
          <w:color w:val="auto"/>
          <w:sz w:val="30"/>
          <w:szCs w:val="30"/>
          <w:highlight w:val="none"/>
        </w:rPr>
      </w:pPr>
    </w:p>
    <w:p>
      <w:pPr>
        <w:pStyle w:val="7"/>
        <w:ind w:firstLine="560"/>
        <w:rPr>
          <w:rFonts w:hint="eastAsia"/>
          <w:color w:val="auto"/>
          <w:highlight w:val="none"/>
        </w:rPr>
      </w:pPr>
    </w:p>
    <w:p>
      <w:pPr>
        <w:pStyle w:val="7"/>
        <w:ind w:left="0" w:leftChars="0" w:firstLine="0" w:firstLineChars="0"/>
        <w:rPr>
          <w:rFonts w:hint="eastAsia"/>
          <w:color w:val="auto"/>
          <w:highlight w:val="none"/>
        </w:rPr>
      </w:pPr>
    </w:p>
    <w:p>
      <w:pPr>
        <w:pStyle w:val="7"/>
        <w:ind w:left="0" w:leftChars="0" w:firstLine="0" w:firstLineChars="0"/>
        <w:rPr>
          <w:rFonts w:hint="eastAsia"/>
          <w:color w:val="auto"/>
          <w:highlight w:val="none"/>
        </w:rPr>
      </w:pPr>
    </w:p>
    <w:p>
      <w:pPr>
        <w:pStyle w:val="7"/>
        <w:ind w:left="0" w:leftChars="0" w:firstLine="0" w:firstLineChars="0"/>
        <w:rPr>
          <w:rFonts w:hint="eastAsia"/>
          <w:color w:val="auto"/>
          <w:highlight w:val="none"/>
        </w:rPr>
      </w:pPr>
    </w:p>
    <w:p>
      <w:pPr>
        <w:pStyle w:val="7"/>
        <w:ind w:left="0" w:leftChars="0" w:firstLine="0" w:firstLineChars="0"/>
        <w:rPr>
          <w:rFonts w:hint="eastAsia"/>
          <w:color w:val="auto"/>
          <w:highlight w:val="none"/>
        </w:rPr>
      </w:pPr>
    </w:p>
    <w:p>
      <w:pPr>
        <w:pStyle w:val="7"/>
        <w:ind w:left="0" w:leftChars="0" w:firstLine="0" w:firstLineChars="0"/>
        <w:rPr>
          <w:rFonts w:hint="eastAsia"/>
          <w:color w:val="auto"/>
          <w:highlight w:val="none"/>
        </w:rPr>
      </w:pPr>
    </w:p>
    <w:p>
      <w:pPr>
        <w:pStyle w:val="7"/>
        <w:ind w:left="0" w:leftChars="0" w:firstLine="0" w:firstLineChars="0"/>
        <w:rPr>
          <w:rFonts w:hint="eastAsia"/>
          <w:color w:val="auto"/>
          <w:highlight w:val="none"/>
        </w:rPr>
      </w:pPr>
    </w:p>
    <w:p>
      <w:pPr>
        <w:pStyle w:val="7"/>
        <w:ind w:left="0" w:leftChars="0" w:firstLine="0" w:firstLineChars="0"/>
        <w:rPr>
          <w:rFonts w:hint="eastAsia"/>
          <w:color w:val="auto"/>
          <w:highlight w:val="none"/>
        </w:rPr>
      </w:pPr>
    </w:p>
    <w:p>
      <w:pPr>
        <w:pStyle w:val="7"/>
        <w:ind w:left="0" w:leftChars="0" w:firstLine="0" w:firstLineChars="0"/>
        <w:rPr>
          <w:rFonts w:hint="eastAsia"/>
          <w:color w:val="auto"/>
          <w:highlight w:val="none"/>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AB00D6"/>
    <w:multiLevelType w:val="singleLevel"/>
    <w:tmpl w:val="C6AB00D6"/>
    <w:lvl w:ilvl="0" w:tentative="0">
      <w:start w:val="3"/>
      <w:numFmt w:val="decimal"/>
      <w:suff w:val="nothing"/>
      <w:lvlText w:val="%1、"/>
      <w:lvlJc w:val="left"/>
    </w:lvl>
  </w:abstractNum>
  <w:abstractNum w:abstractNumId="1">
    <w:nsid w:val="EF82BFD4"/>
    <w:multiLevelType w:val="singleLevel"/>
    <w:tmpl w:val="EF82BFD4"/>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F78DC"/>
    <w:rsid w:val="18C40218"/>
    <w:rsid w:val="39BE5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uiPriority w:val="0"/>
    <w:pPr>
      <w:ind w:firstLine="420" w:firstLineChars="100"/>
    </w:pPr>
  </w:style>
  <w:style w:type="paragraph" w:styleId="3">
    <w:name w:val="Body Text"/>
    <w:basedOn w:val="1"/>
    <w:qFormat/>
    <w:uiPriority w:val="0"/>
    <w:pPr>
      <w:spacing w:after="120"/>
    </w:pPr>
  </w:style>
  <w:style w:type="paragraph" w:styleId="4">
    <w:name w:val="Body Text Indent"/>
    <w:basedOn w:val="1"/>
    <w:qFormat/>
    <w:uiPriority w:val="0"/>
    <w:pPr>
      <w:adjustRightInd w:val="0"/>
      <w:spacing w:line="360" w:lineRule="auto"/>
      <w:ind w:firstLine="490"/>
      <w:jc w:val="left"/>
    </w:pPr>
    <w:rPr>
      <w:rFonts w:ascii="宋体" w:hAnsi="宋体"/>
      <w:sz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qFormat/>
    <w:uiPriority w:val="0"/>
    <w:pPr>
      <w:autoSpaceDE w:val="0"/>
      <w:autoSpaceDN w:val="0"/>
      <w:adjustRightInd w:val="0"/>
      <w:spacing w:after="120" w:line="240" w:lineRule="auto"/>
      <w:ind w:left="420" w:leftChars="200" w:firstLine="420" w:firstLineChars="200"/>
      <w:textAlignment w:val="baseline"/>
    </w:pPr>
    <w:rPr>
      <w:rFonts w:ascii="Times New Roman" w:hAnsi="Times New Roman"/>
      <w:spacing w:val="0"/>
      <w:kern w:val="0"/>
      <w:sz w:val="28"/>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2020-06-23T02:35:23Z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