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ascii="宋体" w:hAnsi="宋体" w:cs="宋体"/>
          <w:b/>
          <w:bCs/>
          <w:sz w:val="24"/>
          <w:szCs w:val="24"/>
          <w:highlight w:val="none"/>
        </w:rPr>
      </w:pPr>
      <w:r>
        <w:rPr>
          <w:rFonts w:hint="eastAsia" w:ascii="宋体" w:hAnsi="宋体" w:cs="宋体"/>
          <w:b/>
          <w:bCs/>
          <w:sz w:val="24"/>
          <w:szCs w:val="24"/>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5"/>
        <w:tblW w:w="0" w:type="auto"/>
        <w:jc w:val="center"/>
        <w:tblLayout w:type="fixed"/>
        <w:tblCellMar>
          <w:top w:w="0" w:type="dxa"/>
          <w:left w:w="108" w:type="dxa"/>
          <w:bottom w:w="0" w:type="dxa"/>
          <w:right w:w="108" w:type="dxa"/>
        </w:tblCellMar>
      </w:tblPr>
      <w:tblGrid>
        <w:gridCol w:w="1038"/>
        <w:gridCol w:w="3059"/>
        <w:gridCol w:w="1701"/>
        <w:gridCol w:w="1403"/>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212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lang w:eastAsia="zh-CN"/>
              </w:rPr>
              <w:t>物流管理1+X实训基地（重2）</w:t>
            </w:r>
            <w:r>
              <w:rPr>
                <w:rFonts w:hint="eastAsia" w:ascii="宋体" w:hAnsi="宋体" w:cs="宋体"/>
                <w:sz w:val="22"/>
                <w:szCs w:val="22"/>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bCs/>
                <w:color w:val="000000"/>
                <w:kern w:val="0"/>
                <w:sz w:val="22"/>
                <w:highlight w:val="none"/>
              </w:rPr>
              <w:t xml:space="preserve">1批 </w:t>
            </w:r>
          </w:p>
        </w:tc>
        <w:tc>
          <w:tcPr>
            <w:tcW w:w="1403"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153440.00</w:t>
            </w:r>
          </w:p>
        </w:tc>
        <w:tc>
          <w:tcPr>
            <w:tcW w:w="212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color w:val="000000"/>
                <w:kern w:val="0"/>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val="0"/>
                <w:bCs w:val="0"/>
                <w:color w:val="auto"/>
                <w:sz w:val="22"/>
                <w:szCs w:val="22"/>
                <w:highlight w:val="none"/>
              </w:rPr>
            </w:pPr>
            <w:r>
              <w:rPr>
                <w:rFonts w:ascii="宋体" w:hAnsi="宋体" w:cs="宋体"/>
                <w:b w:val="0"/>
                <w:bCs w:val="0"/>
                <w:color w:val="auto"/>
                <w:kern w:val="0"/>
                <w:sz w:val="22"/>
                <w:szCs w:val="22"/>
                <w:highlight w:val="none"/>
                <w:u w:val="single"/>
              </w:rPr>
              <w:t>▲</w:t>
            </w:r>
            <w:r>
              <w:rPr>
                <w:rFonts w:hint="eastAsia" w:ascii="宋体" w:hAnsi="宋体" w:cs="宋体"/>
                <w:b w:val="0"/>
                <w:bCs w:val="0"/>
                <w:color w:val="auto"/>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 w:val="0"/>
                <w:bCs w:val="0"/>
                <w:color w:val="auto"/>
                <w:sz w:val="22"/>
                <w:szCs w:val="22"/>
                <w:highlight w:val="none"/>
              </w:rPr>
            </w:pPr>
            <w:r>
              <w:rPr>
                <w:rFonts w:hint="eastAsia" w:ascii="宋体" w:hAnsi="宋体" w:cs="宋体"/>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w:t>
            </w:r>
            <w:r>
              <w:rPr>
                <w:rFonts w:hint="eastAsia" w:ascii="宋体" w:hAnsi="宋体" w:cs="宋体"/>
                <w:sz w:val="22"/>
                <w:szCs w:val="22"/>
                <w:highlight w:val="none"/>
                <w:u w:val="single"/>
                <w:lang w:eastAsia="zh-CN"/>
              </w:rPr>
              <w:t>增值税专用</w:t>
            </w:r>
            <w:r>
              <w:rPr>
                <w:rFonts w:hint="eastAsia" w:ascii="宋体" w:hAnsi="宋体" w:cs="宋体"/>
                <w:sz w:val="22"/>
                <w:szCs w:val="22"/>
                <w:highlight w:val="none"/>
                <w:u w:val="single"/>
              </w:rPr>
              <w:t>发票）；履约保证金自验收合格之日，一年后无质量问题，资产管理处收到使用部门填写的验收单后7个工作日内</w:t>
            </w:r>
            <w:r>
              <w:rPr>
                <w:rFonts w:hint="eastAsia" w:ascii="宋体" w:hAnsi="宋体" w:cs="宋体"/>
                <w:sz w:val="22"/>
                <w:szCs w:val="22"/>
                <w:highlight w:val="none"/>
                <w:u w:val="single"/>
                <w:lang w:eastAsia="zh-CN"/>
              </w:rPr>
              <w:t>无息退还</w:t>
            </w:r>
            <w:r>
              <w:rPr>
                <w:rFonts w:hint="eastAsia" w:ascii="宋体" w:hAnsi="宋体" w:cs="宋体"/>
                <w:sz w:val="22"/>
                <w:szCs w:val="22"/>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 w:val="0"/>
                <w:bCs w:val="0"/>
                <w:color w:val="auto"/>
                <w:kern w:val="0"/>
                <w:sz w:val="22"/>
                <w:highlight w:val="none"/>
              </w:rPr>
            </w:pPr>
            <w:r>
              <w:rPr>
                <w:rFonts w:hint="eastAsia" w:ascii="宋体" w:hAnsi="宋体" w:cs="宋体"/>
                <w:b w:val="0"/>
                <w:bCs w:val="0"/>
                <w:color w:val="auto"/>
                <w:sz w:val="22"/>
                <w:szCs w:val="22"/>
                <w:highlight w:val="none"/>
              </w:rPr>
              <w:t>合同签订后15天内完成交付并验收通过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 w:val="0"/>
                <w:bCs w:val="0"/>
                <w:color w:val="auto"/>
                <w:kern w:val="0"/>
                <w:sz w:val="22"/>
                <w:highlight w:val="none"/>
              </w:rPr>
            </w:pPr>
            <w:r>
              <w:rPr>
                <w:rFonts w:hint="eastAsia" w:ascii="宋体" w:hAnsi="宋体" w:cs="宋体"/>
                <w:b w:val="0"/>
                <w:bCs w:val="0"/>
                <w:color w:val="auto"/>
                <w:sz w:val="22"/>
                <w:szCs w:val="22"/>
                <w:highlight w:val="none"/>
              </w:rPr>
              <w:t>温州职业技术学院指定地点。</w:t>
            </w:r>
          </w:p>
        </w:tc>
      </w:tr>
    </w:tbl>
    <w:p>
      <w:pPr>
        <w:snapToGrid w:val="0"/>
        <w:spacing w:line="360" w:lineRule="exact"/>
        <w:rPr>
          <w:rFonts w:hint="eastAsia" w:ascii="宋体" w:hAnsi="宋体" w:cs="宋体"/>
          <w:b/>
          <w:bCs/>
          <w:sz w:val="22"/>
          <w:szCs w:val="22"/>
          <w:highlight w:val="none"/>
        </w:rPr>
      </w:pPr>
      <w:r>
        <w:rPr>
          <w:rFonts w:hint="eastAsia" w:ascii="宋体" w:hAnsi="宋体" w:cs="宋体"/>
          <w:b/>
          <w:bCs/>
          <w:spacing w:val="-6"/>
          <w:sz w:val="22"/>
          <w:szCs w:val="22"/>
          <w:highlight w:val="none"/>
        </w:rPr>
        <w:t>三</w:t>
      </w:r>
      <w:r>
        <w:rPr>
          <w:rFonts w:hint="eastAsia" w:ascii="宋体" w:hAnsi="宋体" w:cs="宋体"/>
          <w:b/>
          <w:bCs/>
          <w:kern w:val="0"/>
          <w:sz w:val="22"/>
          <w:szCs w:val="22"/>
          <w:highlight w:val="none"/>
        </w:rPr>
        <w:t>、</w:t>
      </w:r>
      <w:r>
        <w:rPr>
          <w:rFonts w:hint="eastAsia" w:ascii="宋体" w:hAnsi="宋体" w:cs="宋体"/>
          <w:b/>
          <w:bCs/>
          <w:spacing w:val="-6"/>
          <w:sz w:val="22"/>
          <w:szCs w:val="22"/>
          <w:highlight w:val="none"/>
        </w:rPr>
        <w:t>技术要求</w:t>
      </w:r>
    </w:p>
    <w:tbl>
      <w:tblPr>
        <w:tblStyle w:val="5"/>
        <w:tblW w:w="9810" w:type="dxa"/>
        <w:tblInd w:w="0" w:type="dxa"/>
        <w:tblLayout w:type="fixed"/>
        <w:tblCellMar>
          <w:top w:w="0" w:type="dxa"/>
          <w:left w:w="0" w:type="dxa"/>
          <w:bottom w:w="0" w:type="dxa"/>
          <w:right w:w="0" w:type="dxa"/>
        </w:tblCellMar>
      </w:tblPr>
      <w:tblGrid>
        <w:gridCol w:w="630"/>
        <w:gridCol w:w="1440"/>
        <w:gridCol w:w="1020"/>
        <w:gridCol w:w="4965"/>
        <w:gridCol w:w="840"/>
        <w:gridCol w:w="915"/>
      </w:tblGrid>
      <w:tr>
        <w:tblPrEx>
          <w:tblCellMar>
            <w:top w:w="0" w:type="dxa"/>
            <w:left w:w="0" w:type="dxa"/>
            <w:bottom w:w="0" w:type="dxa"/>
            <w:right w:w="0" w:type="dxa"/>
          </w:tblCellMar>
        </w:tblPrEx>
        <w:trPr>
          <w:trHeight w:val="810"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序号</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项目名称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设备名称</w:t>
            </w:r>
          </w:p>
        </w:tc>
        <w:tc>
          <w:tcPr>
            <w:tcW w:w="4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规格型号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数量</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备注</w:t>
            </w:r>
          </w:p>
        </w:tc>
      </w:tr>
      <w:tr>
        <w:tblPrEx>
          <w:tblCellMar>
            <w:top w:w="0" w:type="dxa"/>
            <w:left w:w="0" w:type="dxa"/>
            <w:bottom w:w="0" w:type="dxa"/>
            <w:right w:w="0" w:type="dxa"/>
          </w:tblCellMar>
        </w:tblPrEx>
        <w:trPr>
          <w:trHeight w:val="47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手持终端</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1.无线手持终端</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尺寸：193.4X119.4X162.6mm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重量：650g 左右</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处理器：PXA320 @624MHz 256M/1G</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操作系统：CE 系统</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扩展槽：SD/MMC 卡槽 8G</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无线：802.11a/b/g</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BT 2.1 EDR classII</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支持：SE950 SE4500SR 752X480</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耳机接口、扬声器、麦克风、蓝牙耳机</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防护等级：IP54</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1.2 米跌落 500 次 0.5 米滚动</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操作温度：-10 至 50 度</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屏幕：3 英寸彩色 320X320</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电池容量：标准的：可充电式锂离子电池，4800mAh 原装充电座</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键盘：38 键</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2.RF 作业支持系统，1 套</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具体参数：实现仓库出入库作业、库内拣选、盘点作业、移库等</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操作。</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25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二代身份证阅读器</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符合国家标准：</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与卡片的通讯速率：106 Kbit/s</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校验：循环冗余校验（CRC）</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最大读卡距离：不小于30mm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供电电源：USB供电</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接口：USB2.0兼容USB1.1</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工作温度：0~50摄氏度</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外观尺寸：155mm*96mm*26mm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使用平台：WIN98/2000/XP/WIN7/8/10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32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条形码打印机</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 xml:space="preserve">打印方式：热敏或热转印 </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打印速度：76mm/s</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最大打印宽度：104mm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最大打印长度：1092mm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分辨率：203dpi</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碳带宽度：33-109mm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带长度：920mm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内存：4MB</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通信接口：USB，串行接口，并行接口字体：5 种内建文数字字体，国际标准字.</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产品类型：桌面打印机</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介质厚度：0.058-0.305mm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16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托盘货架</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钢构，表面静电喷塑；立柱颜色建议采用宝蓝色，横梁建议采用亮橘红色；</w:t>
            </w:r>
          </w:p>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适用的托盘尺寸：1200×1000×160mm 左右；</w:t>
            </w:r>
          </w:p>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组合式可拆装，每组外尺寸 2480*800*3000mm 左右，单元承重不低于 1 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7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托盘</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标准 1200mm*1000mm 木制托盘</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7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模拟货品</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商品种类32种，每个类别数量不少于20个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 xml:space="preserve">各种规格数量要达到物流管理职业技能等级考核要求      </w:t>
            </w:r>
          </w:p>
        </w:tc>
      </w:tr>
      <w:tr>
        <w:tblPrEx>
          <w:tblCellMar>
            <w:top w:w="0" w:type="dxa"/>
            <w:left w:w="0" w:type="dxa"/>
            <w:bottom w:w="0" w:type="dxa"/>
            <w:right w:w="0" w:type="dxa"/>
          </w:tblCellMar>
        </w:tblPrEx>
        <w:trPr>
          <w:trHeight w:val="18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纸箱、胶带</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 xml:space="preserve">纸箱规格 1-1 外径（长*宽*高）：外径：190mm*370mm*270mm </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纸箱规格 1-2 外径（长*宽*高）：外径：285mm*380mm*270mm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纸箱规格 1-3 外径（长*宽*高）：外径：320mm*480mm*200mm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纸箱规格 1-4 外径（长*宽*高）：外径：380mm*570mm*220mm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纸箱规格 1-5 外径（长*宽*高）：外径：350mm*350mm*245mm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五层瓦楞纸封装，印字（尺寸、堆垛层数、防潮等）</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每种规格的纸箱各100个</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 xml:space="preserve">各种规格数量要达到物流管理职业技能等级考核要求      </w:t>
            </w:r>
          </w:p>
        </w:tc>
      </w:tr>
      <w:tr>
        <w:tblPrEx>
          <w:tblCellMar>
            <w:top w:w="0" w:type="dxa"/>
            <w:left w:w="0" w:type="dxa"/>
            <w:bottom w:w="0" w:type="dxa"/>
            <w:right w:w="0" w:type="dxa"/>
          </w:tblCellMar>
        </w:tblPrEx>
        <w:trPr>
          <w:trHeight w:val="7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手机信号屏蔽仪</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屏蔽范围：半径8米-15米</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供电规格：AC：110V-2</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可屏蔽手机信号：2G/3G/4G/WIFI</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41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无线基站</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LAN接口数量（千兆）:8口</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Wan口数量（千兆）:2口</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类型:无线路由器</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机身材质工艺:金属机身</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使用场景:其他</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总带机量:50-100</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规格信息:LAN口(设备连接口)</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千兆网口:WAN口(网线接入口)</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传输标准:IEEE 802.11n；IEEE 802.11g；IEEE 802.11b；IEEE 802.11.ac；IEEE 802.11.a；IEEE 802.3；IEEE 802.3u；IEEE 802.3ab</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网络协议:TCP/IP</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无线协议:802.11ac</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处理器:其他</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无线速率:千兆</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支持RF手持终端与物流管理信息系统的无线连接</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178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2"/>
                <w:highlight w:val="none"/>
                <w:lang w:eastAsia="zh-CN" w:bidi="ar"/>
              </w:rPr>
            </w:pPr>
            <w:r>
              <w:rPr>
                <w:rFonts w:hint="eastAsia" w:ascii="宋体" w:hAnsi="宋体" w:cs="宋体"/>
                <w:color w:val="000000"/>
                <w:kern w:val="0"/>
                <w:sz w:val="20"/>
                <w:szCs w:val="22"/>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电动叉车</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2"/>
                <w:highlight w:val="none"/>
                <w:lang w:bidi="ar"/>
              </w:rPr>
            </w:pPr>
            <w:r>
              <w:rPr>
                <w:rFonts w:hint="eastAsia" w:ascii="宋体" w:hAnsi="宋体" w:cs="宋体"/>
                <w:color w:val="000000"/>
                <w:kern w:val="0"/>
                <w:sz w:val="20"/>
                <w:szCs w:val="22"/>
                <w:highlight w:val="none"/>
                <w:lang w:bidi="ar"/>
              </w:rPr>
              <w:t>额定载荷 kg：1000  举升高度 mm：1600  货叉最低高度mm：85  货叉长度 mm：1150 货叉宽度 mm：640 载荷中心 mm：450  转弯半径 mm：1350  电机V/KW：12/1.5 蓄电池V/AH：12/120 充电器V/A：12/20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18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手动叉车</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额定负载：2000kg</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货叉最低高度：85 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货叉最高高度：200 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货叉总宽：540mm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转向轮：Ф180*50mm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承重轮 双轮：Ф80*70mm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货叉尺寸：160*50 mm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7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安全马甲</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符合国家标准、均码、 反光背心马甲施工荧光安全夜光衣服外套定制平铺肩宽45cm长67cm腰宽116没有拉伸误差2-3cm支持定制log，近距离反光100米，反光视距300米。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7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指示牌</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不锈钢立牌指示牌、360度旋转、展示框适用A4、高度可调节范围70cm--120cm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7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安全帽</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符合国家标准、 ABS材质，缓存内衬、可定制log、按钮调节巩固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8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文件档案柜</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铁皮柜 深40cm*高180cm*宽85cm  中二斗柜：上玻璃、中抽屉、下柜子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11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highlight w:val="none"/>
                <w:lang w:eastAsia="zh-CN"/>
              </w:rPr>
            </w:pPr>
            <w:r>
              <w:rPr>
                <w:rFonts w:hint="eastAsia" w:ascii="宋体" w:hAnsi="宋体" w:cs="宋体"/>
                <w:color w:val="000000"/>
                <w:kern w:val="0"/>
                <w:sz w:val="20"/>
                <w:highlight w:val="none"/>
                <w:lang w:eastAsia="zh-CN" w:bidi="ar"/>
              </w:rPr>
              <w:t>物流管理1+X实训基地（重2）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保险柜</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双开门，规格不低于</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外部尺寸：1680*900*600（mm）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内部尺寸：1600*780*520（mm）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11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物流管理</w:t>
            </w:r>
            <w:r>
              <w:rPr>
                <w:color w:val="000000"/>
                <w:kern w:val="0"/>
                <w:sz w:val="20"/>
                <w:highlight w:val="none"/>
                <w:lang w:bidi="ar"/>
              </w:rPr>
              <w:t>1+X</w:t>
            </w:r>
            <w:r>
              <w:rPr>
                <w:rFonts w:hint="eastAsia" w:ascii="宋体" w:hAnsi="宋体" w:cs="宋体"/>
                <w:color w:val="000000"/>
                <w:kern w:val="0"/>
                <w:sz w:val="20"/>
                <w:highlight w:val="none"/>
                <w:lang w:bidi="ar"/>
              </w:rPr>
              <w:t>机房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手机信号屏蔽仪</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屏蔽范围：半径8米-15米</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供电规格：AC：110V-2</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可屏蔽手机信号：2G/3G/4G/WIFI</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r>
        <w:tblPrEx>
          <w:tblCellMar>
            <w:top w:w="0" w:type="dxa"/>
            <w:left w:w="0" w:type="dxa"/>
            <w:bottom w:w="0" w:type="dxa"/>
            <w:right w:w="0" w:type="dxa"/>
          </w:tblCellMar>
        </w:tblPrEx>
        <w:trPr>
          <w:trHeight w:val="22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物流管理</w:t>
            </w:r>
            <w:r>
              <w:rPr>
                <w:color w:val="000000"/>
                <w:kern w:val="0"/>
                <w:sz w:val="20"/>
                <w:highlight w:val="none"/>
                <w:lang w:bidi="ar"/>
              </w:rPr>
              <w:t>1+X</w:t>
            </w:r>
            <w:r>
              <w:rPr>
                <w:rFonts w:hint="eastAsia" w:ascii="宋体" w:hAnsi="宋体" w:cs="宋体"/>
                <w:color w:val="000000"/>
                <w:kern w:val="0"/>
                <w:sz w:val="20"/>
                <w:highlight w:val="none"/>
                <w:lang w:bidi="ar"/>
              </w:rPr>
              <w:t>机房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二代身份证阅读器</w:t>
            </w: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符合国家标准：</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与卡片的通讯速率：106 Kbit/s</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校验：循环冗余校验（CRC）</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最大读卡距离：不小于30mm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供电电源：USB供电</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接口：USB2.0兼容USB1.1</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工作温度：0~50摄氏度</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外观尺寸：155mm*96mm*26mm</w:t>
            </w:r>
            <w:r>
              <w:rPr>
                <w:rFonts w:hint="eastAsia" w:ascii="宋体" w:hAnsi="宋体" w:cs="宋体"/>
                <w:color w:val="000000"/>
                <w:kern w:val="0"/>
                <w:sz w:val="20"/>
                <w:highlight w:val="none"/>
                <w:lang w:bidi="ar"/>
              </w:rPr>
              <w:br w:type="textWrapping"/>
            </w:r>
            <w:r>
              <w:rPr>
                <w:rFonts w:hint="eastAsia" w:ascii="宋体" w:hAnsi="宋体" w:cs="宋体"/>
                <w:color w:val="000000"/>
                <w:kern w:val="0"/>
                <w:sz w:val="20"/>
                <w:highlight w:val="none"/>
                <w:lang w:bidi="ar"/>
              </w:rPr>
              <w:t>使用平台：WIN98/2000/XP/WIN7/8/10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highlight w:val="none"/>
              </w:rPr>
            </w:pPr>
            <w:r>
              <w:rPr>
                <w:rFonts w:hint="eastAsia" w:ascii="宋体" w:hAnsi="宋体" w:cs="宋体"/>
                <w:color w:val="000000"/>
                <w:kern w:val="0"/>
                <w:sz w:val="20"/>
                <w:highlight w:val="none"/>
                <w:lang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highlight w:val="none"/>
              </w:rPr>
            </w:pPr>
          </w:p>
        </w:tc>
      </w:tr>
    </w:tbl>
    <w:p>
      <w:pPr>
        <w:pStyle w:val="4"/>
        <w:ind w:left="0" w:leftChars="0" w:firstLine="0" w:firstLineChars="0"/>
        <w:rPr>
          <w:rFonts w:hint="eastAsia" w:ascii="宋体" w:hAnsi="宋体" w:cs="宋体"/>
          <w:b/>
          <w:bCs/>
          <w:spacing w:val="-6"/>
          <w:sz w:val="22"/>
          <w:szCs w:val="22"/>
          <w:highlight w:val="none"/>
        </w:rPr>
      </w:pPr>
    </w:p>
    <w:p>
      <w:pPr>
        <w:spacing w:line="360" w:lineRule="exact"/>
        <w:rPr>
          <w:rFonts w:hint="eastAsia" w:ascii="宋体" w:hAnsi="宋体" w:cs="宋体"/>
          <w:b/>
          <w:bCs/>
          <w:sz w:val="22"/>
          <w:szCs w:val="22"/>
          <w:highlight w:val="none"/>
        </w:rPr>
      </w:pPr>
      <w:r>
        <w:rPr>
          <w:rFonts w:hint="eastAsia" w:ascii="宋体" w:hAnsi="宋体" w:cs="宋体"/>
          <w:b/>
          <w:spacing w:val="-6"/>
          <w:sz w:val="22"/>
          <w:szCs w:val="22"/>
          <w:highlight w:val="none"/>
        </w:rPr>
        <w:t>四、其他</w:t>
      </w:r>
    </w:p>
    <w:p>
      <w:pPr>
        <w:spacing w:line="360" w:lineRule="exact"/>
        <w:ind w:firstLine="418" w:firstLineChars="200"/>
        <w:rPr>
          <w:rFonts w:hint="eastAsia" w:ascii="宋体" w:hAnsi="宋体" w:cs="宋体"/>
          <w:b/>
          <w:spacing w:val="-6"/>
          <w:sz w:val="22"/>
          <w:szCs w:val="22"/>
          <w:highlight w:val="none"/>
        </w:rPr>
      </w:pPr>
      <w:r>
        <w:rPr>
          <w:rFonts w:hint="eastAsia" w:ascii="宋体" w:hAnsi="宋体" w:cs="宋体"/>
          <w:b/>
          <w:spacing w:val="-6"/>
          <w:sz w:val="22"/>
          <w:szCs w:val="22"/>
          <w:highlight w:val="none"/>
        </w:rPr>
        <w:t>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spacing w:val="-6"/>
          <w:sz w:val="22"/>
          <w:szCs w:val="22"/>
          <w:highlight w:val="none"/>
        </w:rPr>
      </w:pPr>
      <w:r>
        <w:rPr>
          <w:rFonts w:hint="eastAsia" w:ascii="宋体" w:hAnsi="宋体" w:cs="宋体"/>
          <w:b/>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pStyle w:val="4"/>
        <w:ind w:firstLine="560"/>
        <w:rPr>
          <w:rFonts w:hint="eastAsia"/>
          <w:highlight w:val="none"/>
        </w:rPr>
      </w:pPr>
    </w:p>
    <w:p>
      <w:pPr>
        <w:pStyle w:val="4"/>
        <w:ind w:firstLine="56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bookmarkStart w:id="0" w:name="_GoBack"/>
      <w:bookmarkEnd w:id="0"/>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pPr>
        <w:pStyle w:val="4"/>
        <w:ind w:left="0" w:leftChars="0" w:firstLine="0" w:firstLineChars="0"/>
        <w:rPr>
          <w:rFonts w:hint="eastAsia"/>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7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1"/>
    <w:uiPriority w:val="0"/>
    <w:pPr>
      <w:ind w:firstLine="420" w:firstLineChars="100"/>
    </w:pPr>
  </w:style>
  <w:style w:type="paragraph" w:styleId="3">
    <w:name w:val="Body Text Indent"/>
    <w:basedOn w:val="1"/>
    <w:uiPriority w:val="0"/>
    <w:pPr>
      <w:adjustRightInd w:val="0"/>
      <w:spacing w:line="360" w:lineRule="auto"/>
      <w:ind w:firstLine="490"/>
      <w:jc w:val="left"/>
    </w:pPr>
    <w:rPr>
      <w:rFonts w:ascii="宋体" w:hAnsi="宋体"/>
      <w:sz w:val="24"/>
    </w:rPr>
  </w:style>
  <w:style w:type="paragraph" w:styleId="4">
    <w:name w:val="Body Text First Indent 2"/>
    <w:basedOn w:val="3"/>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2020-05-18T05:46:15Z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