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854" w:type="dxa"/>
            <w:noWrap w:val="0"/>
            <w:vAlign w:val="top"/>
          </w:tcPr>
          <w:p>
            <w:pPr>
              <w:spacing w:before="120" w:beforeLines="50" w:after="120" w:afterLines="50"/>
              <w:jc w:val="center"/>
              <w:rPr>
                <w:rFonts w:hint="eastAsia" w:eastAsia="宋体"/>
                <w:sz w:val="22"/>
                <w:szCs w:val="22"/>
                <w:highlight w:val="none"/>
                <w:lang w:eastAsia="zh-CN"/>
              </w:rPr>
            </w:pPr>
            <w:bookmarkStart w:id="0" w:name="_GoBack"/>
            <w:r>
              <w:rPr>
                <w:rFonts w:hint="eastAsia"/>
                <w:sz w:val="22"/>
                <w:szCs w:val="22"/>
                <w:highlight w:val="none"/>
                <w:lang w:eastAsia="zh-CN"/>
              </w:rPr>
              <w:t>采购需求</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9854" w:type="dxa"/>
            <w:noWrap w:val="0"/>
            <w:vAlign w:val="top"/>
          </w:tcPr>
          <w:p>
            <w:pPr>
              <w:spacing w:line="480" w:lineRule="auto"/>
              <w:rPr>
                <w:rFonts w:hint="eastAsia"/>
                <w:sz w:val="22"/>
                <w:szCs w:val="22"/>
                <w:highlight w:val="none"/>
              </w:rPr>
            </w:pPr>
            <w:r>
              <w:rPr>
                <w:sz w:val="22"/>
                <w:szCs w:val="22"/>
                <w:highlight w:val="none"/>
              </w:rPr>
              <w:t>依据《中华人民共和国计算机信息系统安全保护条例》（国务院147号令）、《国家信息化领导小组关于加强信息安全保障工作的意见》（中办发〔2003〕27号）、《关于信息安全等级保护工作的实施意见》（公通字〔2004〕66号）和《信息安全等级保护管理办法》（公通字〔2007〕43号）等相关文件及标准要求，对温州职业技术学院系统进行</w:t>
            </w:r>
            <w:r>
              <w:rPr>
                <w:rFonts w:hint="eastAsia"/>
                <w:sz w:val="22"/>
                <w:szCs w:val="22"/>
                <w:highlight w:val="none"/>
              </w:rPr>
              <w:t>测评</w:t>
            </w:r>
            <w:r>
              <w:rPr>
                <w:sz w:val="22"/>
                <w:szCs w:val="22"/>
                <w:highlight w:val="none"/>
              </w:rPr>
              <w:t>。其中包含以下信息系统：</w:t>
            </w:r>
          </w:p>
          <w:tbl>
            <w:tblPr>
              <w:tblStyle w:val="4"/>
              <w:tblW w:w="88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52"/>
              <w:gridCol w:w="2952"/>
              <w:gridCol w:w="2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52" w:type="dxa"/>
                  <w:noWrap w:val="0"/>
                  <w:vAlign w:val="center"/>
                </w:tcPr>
                <w:p>
                  <w:pPr>
                    <w:spacing w:line="480" w:lineRule="auto"/>
                    <w:jc w:val="center"/>
                    <w:rPr>
                      <w:sz w:val="22"/>
                      <w:szCs w:val="22"/>
                      <w:highlight w:val="none"/>
                    </w:rPr>
                  </w:pPr>
                  <w:r>
                    <w:rPr>
                      <w:rFonts w:hint="eastAsia"/>
                      <w:sz w:val="22"/>
                      <w:szCs w:val="22"/>
                      <w:highlight w:val="none"/>
                    </w:rPr>
                    <w:t>系统名字</w:t>
                  </w:r>
                </w:p>
              </w:tc>
              <w:tc>
                <w:tcPr>
                  <w:tcW w:w="2952" w:type="dxa"/>
                  <w:noWrap w:val="0"/>
                  <w:vAlign w:val="center"/>
                </w:tcPr>
                <w:p>
                  <w:pPr>
                    <w:spacing w:line="480" w:lineRule="auto"/>
                    <w:jc w:val="center"/>
                    <w:rPr>
                      <w:sz w:val="22"/>
                      <w:szCs w:val="22"/>
                      <w:highlight w:val="none"/>
                    </w:rPr>
                  </w:pPr>
                  <w:r>
                    <w:rPr>
                      <w:rFonts w:hint="eastAsia"/>
                      <w:sz w:val="22"/>
                      <w:szCs w:val="22"/>
                      <w:highlight w:val="none"/>
                    </w:rPr>
                    <w:t>系统等级</w:t>
                  </w:r>
                </w:p>
              </w:tc>
              <w:tc>
                <w:tcPr>
                  <w:tcW w:w="2952" w:type="dxa"/>
                  <w:noWrap w:val="0"/>
                  <w:vAlign w:val="center"/>
                </w:tcPr>
                <w:p>
                  <w:pPr>
                    <w:spacing w:line="480" w:lineRule="auto"/>
                    <w:jc w:val="center"/>
                    <w:rPr>
                      <w:sz w:val="22"/>
                      <w:szCs w:val="22"/>
                      <w:highlight w:val="none"/>
                    </w:rPr>
                  </w:pPr>
                  <w:r>
                    <w:rPr>
                      <w:rFonts w:hint="eastAsia"/>
                      <w:sz w:val="22"/>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52" w:type="dxa"/>
                  <w:noWrap w:val="0"/>
                  <w:vAlign w:val="center"/>
                </w:tcPr>
                <w:p>
                  <w:pPr>
                    <w:spacing w:line="480" w:lineRule="auto"/>
                    <w:jc w:val="center"/>
                    <w:rPr>
                      <w:rFonts w:hint="eastAsia"/>
                      <w:sz w:val="22"/>
                      <w:szCs w:val="22"/>
                      <w:highlight w:val="none"/>
                    </w:rPr>
                  </w:pPr>
                  <w:r>
                    <w:rPr>
                      <w:rFonts w:hint="eastAsia"/>
                      <w:sz w:val="22"/>
                      <w:szCs w:val="22"/>
                      <w:highlight w:val="none"/>
                    </w:rPr>
                    <w:t>教学科研系统</w:t>
                  </w:r>
                </w:p>
              </w:tc>
              <w:tc>
                <w:tcPr>
                  <w:tcW w:w="2952" w:type="dxa"/>
                  <w:noWrap w:val="0"/>
                  <w:vAlign w:val="center"/>
                </w:tcPr>
                <w:p>
                  <w:pPr>
                    <w:spacing w:line="480" w:lineRule="auto"/>
                    <w:jc w:val="center"/>
                    <w:rPr>
                      <w:rFonts w:hint="eastAsia"/>
                      <w:sz w:val="22"/>
                      <w:szCs w:val="22"/>
                      <w:highlight w:val="none"/>
                    </w:rPr>
                  </w:pPr>
                  <w:r>
                    <w:rPr>
                      <w:rFonts w:hint="eastAsia"/>
                      <w:sz w:val="22"/>
                      <w:szCs w:val="22"/>
                      <w:highlight w:val="none"/>
                    </w:rPr>
                    <w:t>2</w:t>
                  </w:r>
                </w:p>
              </w:tc>
              <w:tc>
                <w:tcPr>
                  <w:tcW w:w="2952" w:type="dxa"/>
                  <w:noWrap w:val="0"/>
                  <w:vAlign w:val="center"/>
                </w:tcPr>
                <w:p>
                  <w:pPr>
                    <w:spacing w:line="480" w:lineRule="auto"/>
                    <w:jc w:val="center"/>
                    <w:rPr>
                      <w:rFonts w:hint="eastAsia"/>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52" w:type="dxa"/>
                  <w:noWrap w:val="0"/>
                  <w:vAlign w:val="center"/>
                </w:tcPr>
                <w:p>
                  <w:pPr>
                    <w:spacing w:line="480" w:lineRule="auto"/>
                    <w:jc w:val="center"/>
                    <w:rPr>
                      <w:rFonts w:hint="eastAsia"/>
                      <w:sz w:val="22"/>
                      <w:szCs w:val="22"/>
                      <w:highlight w:val="none"/>
                    </w:rPr>
                  </w:pPr>
                  <w:r>
                    <w:rPr>
                      <w:rFonts w:hint="eastAsia"/>
                      <w:sz w:val="22"/>
                      <w:szCs w:val="22"/>
                      <w:highlight w:val="none"/>
                    </w:rPr>
                    <w:t>网站集群系统</w:t>
                  </w:r>
                </w:p>
              </w:tc>
              <w:tc>
                <w:tcPr>
                  <w:tcW w:w="2952" w:type="dxa"/>
                  <w:noWrap w:val="0"/>
                  <w:vAlign w:val="center"/>
                </w:tcPr>
                <w:p>
                  <w:pPr>
                    <w:spacing w:line="480" w:lineRule="auto"/>
                    <w:jc w:val="center"/>
                    <w:rPr>
                      <w:rFonts w:hint="eastAsia"/>
                      <w:sz w:val="22"/>
                      <w:szCs w:val="22"/>
                      <w:highlight w:val="none"/>
                    </w:rPr>
                  </w:pPr>
                  <w:r>
                    <w:rPr>
                      <w:rFonts w:hint="eastAsia"/>
                      <w:sz w:val="22"/>
                      <w:szCs w:val="22"/>
                      <w:highlight w:val="none"/>
                    </w:rPr>
                    <w:t>2</w:t>
                  </w:r>
                </w:p>
              </w:tc>
              <w:tc>
                <w:tcPr>
                  <w:tcW w:w="2952" w:type="dxa"/>
                  <w:noWrap w:val="0"/>
                  <w:vAlign w:val="center"/>
                </w:tcPr>
                <w:p>
                  <w:pPr>
                    <w:spacing w:line="480" w:lineRule="auto"/>
                    <w:jc w:val="center"/>
                    <w:rPr>
                      <w:rFonts w:hint="eastAsia"/>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52" w:type="dxa"/>
                  <w:noWrap w:val="0"/>
                  <w:vAlign w:val="center"/>
                </w:tcPr>
                <w:p>
                  <w:pPr>
                    <w:spacing w:line="480" w:lineRule="auto"/>
                    <w:jc w:val="center"/>
                    <w:rPr>
                      <w:rFonts w:hint="eastAsia"/>
                      <w:sz w:val="22"/>
                      <w:szCs w:val="22"/>
                      <w:highlight w:val="none"/>
                    </w:rPr>
                  </w:pPr>
                  <w:r>
                    <w:rPr>
                      <w:rFonts w:hint="eastAsia"/>
                      <w:sz w:val="22"/>
                      <w:szCs w:val="22"/>
                      <w:highlight w:val="none"/>
                    </w:rPr>
                    <w:t>校务管理系统</w:t>
                  </w:r>
                </w:p>
              </w:tc>
              <w:tc>
                <w:tcPr>
                  <w:tcW w:w="2952" w:type="dxa"/>
                  <w:noWrap w:val="0"/>
                  <w:vAlign w:val="center"/>
                </w:tcPr>
                <w:p>
                  <w:pPr>
                    <w:spacing w:line="480" w:lineRule="auto"/>
                    <w:jc w:val="center"/>
                    <w:rPr>
                      <w:rFonts w:hint="eastAsia"/>
                      <w:sz w:val="22"/>
                      <w:szCs w:val="22"/>
                      <w:highlight w:val="none"/>
                    </w:rPr>
                  </w:pPr>
                  <w:r>
                    <w:rPr>
                      <w:rFonts w:hint="eastAsia"/>
                      <w:sz w:val="22"/>
                      <w:szCs w:val="22"/>
                      <w:highlight w:val="none"/>
                    </w:rPr>
                    <w:t>2</w:t>
                  </w:r>
                </w:p>
              </w:tc>
              <w:tc>
                <w:tcPr>
                  <w:tcW w:w="2952" w:type="dxa"/>
                  <w:noWrap w:val="0"/>
                  <w:vAlign w:val="center"/>
                </w:tcPr>
                <w:p>
                  <w:pPr>
                    <w:spacing w:line="480" w:lineRule="auto"/>
                    <w:jc w:val="center"/>
                    <w:rPr>
                      <w:rFonts w:hint="eastAsia"/>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52" w:type="dxa"/>
                  <w:noWrap w:val="0"/>
                  <w:vAlign w:val="center"/>
                </w:tcPr>
                <w:p>
                  <w:pPr>
                    <w:spacing w:line="480" w:lineRule="auto"/>
                    <w:jc w:val="center"/>
                    <w:rPr>
                      <w:rFonts w:hint="eastAsia"/>
                      <w:sz w:val="22"/>
                      <w:szCs w:val="22"/>
                      <w:highlight w:val="none"/>
                    </w:rPr>
                  </w:pPr>
                  <w:r>
                    <w:rPr>
                      <w:rFonts w:hint="eastAsia"/>
                      <w:sz w:val="22"/>
                      <w:szCs w:val="22"/>
                      <w:highlight w:val="none"/>
                    </w:rPr>
                    <w:t>招生就业系统</w:t>
                  </w:r>
                </w:p>
              </w:tc>
              <w:tc>
                <w:tcPr>
                  <w:tcW w:w="2952" w:type="dxa"/>
                  <w:noWrap w:val="0"/>
                  <w:vAlign w:val="center"/>
                </w:tcPr>
                <w:p>
                  <w:pPr>
                    <w:spacing w:line="480" w:lineRule="auto"/>
                    <w:jc w:val="center"/>
                    <w:rPr>
                      <w:rFonts w:hint="eastAsia"/>
                      <w:sz w:val="22"/>
                      <w:szCs w:val="22"/>
                      <w:highlight w:val="none"/>
                    </w:rPr>
                  </w:pPr>
                  <w:r>
                    <w:rPr>
                      <w:rFonts w:hint="eastAsia"/>
                      <w:sz w:val="22"/>
                      <w:szCs w:val="22"/>
                      <w:highlight w:val="none"/>
                    </w:rPr>
                    <w:t>2</w:t>
                  </w:r>
                </w:p>
              </w:tc>
              <w:tc>
                <w:tcPr>
                  <w:tcW w:w="2952" w:type="dxa"/>
                  <w:noWrap w:val="0"/>
                  <w:vAlign w:val="center"/>
                </w:tcPr>
                <w:p>
                  <w:pPr>
                    <w:spacing w:line="480" w:lineRule="auto"/>
                    <w:jc w:val="center"/>
                    <w:rPr>
                      <w:rFonts w:hint="eastAsia"/>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52" w:type="dxa"/>
                  <w:noWrap w:val="0"/>
                  <w:vAlign w:val="center"/>
                </w:tcPr>
                <w:p>
                  <w:pPr>
                    <w:spacing w:line="480" w:lineRule="auto"/>
                    <w:jc w:val="center"/>
                    <w:rPr>
                      <w:rFonts w:hint="eastAsia"/>
                      <w:sz w:val="22"/>
                      <w:szCs w:val="22"/>
                      <w:highlight w:val="none"/>
                    </w:rPr>
                  </w:pPr>
                  <w:r>
                    <w:rPr>
                      <w:rFonts w:hint="eastAsia"/>
                      <w:sz w:val="22"/>
                      <w:szCs w:val="22"/>
                      <w:highlight w:val="none"/>
                    </w:rPr>
                    <w:t>综合服务系统</w:t>
                  </w:r>
                </w:p>
              </w:tc>
              <w:tc>
                <w:tcPr>
                  <w:tcW w:w="2952" w:type="dxa"/>
                  <w:noWrap w:val="0"/>
                  <w:vAlign w:val="center"/>
                </w:tcPr>
                <w:p>
                  <w:pPr>
                    <w:spacing w:line="480" w:lineRule="auto"/>
                    <w:jc w:val="center"/>
                    <w:rPr>
                      <w:rFonts w:hint="eastAsia"/>
                      <w:sz w:val="22"/>
                      <w:szCs w:val="22"/>
                      <w:highlight w:val="none"/>
                    </w:rPr>
                  </w:pPr>
                  <w:r>
                    <w:rPr>
                      <w:rFonts w:hint="eastAsia"/>
                      <w:sz w:val="22"/>
                      <w:szCs w:val="22"/>
                      <w:highlight w:val="none"/>
                    </w:rPr>
                    <w:t>2</w:t>
                  </w:r>
                </w:p>
              </w:tc>
              <w:tc>
                <w:tcPr>
                  <w:tcW w:w="2952" w:type="dxa"/>
                  <w:noWrap w:val="0"/>
                  <w:vAlign w:val="center"/>
                </w:tcPr>
                <w:p>
                  <w:pPr>
                    <w:spacing w:line="480" w:lineRule="auto"/>
                    <w:jc w:val="center"/>
                    <w:rPr>
                      <w:rFonts w:hint="eastAsia"/>
                      <w:sz w:val="22"/>
                      <w:szCs w:val="22"/>
                      <w:highlight w:val="none"/>
                    </w:rPr>
                  </w:pPr>
                </w:p>
              </w:tc>
            </w:tr>
          </w:tbl>
          <w:p>
            <w:pPr>
              <w:spacing w:line="480" w:lineRule="auto"/>
              <w:rPr>
                <w:sz w:val="22"/>
                <w:szCs w:val="22"/>
                <w:highlight w:val="none"/>
              </w:rPr>
            </w:pPr>
            <w:r>
              <w:rPr>
                <w:sz w:val="22"/>
                <w:szCs w:val="22"/>
                <w:highlight w:val="none"/>
              </w:rPr>
              <w:t>服务要求</w:t>
            </w:r>
          </w:p>
          <w:p>
            <w:pPr>
              <w:spacing w:line="480" w:lineRule="auto"/>
              <w:rPr>
                <w:sz w:val="22"/>
                <w:szCs w:val="22"/>
                <w:highlight w:val="none"/>
              </w:rPr>
            </w:pPr>
            <w:r>
              <w:rPr>
                <w:sz w:val="22"/>
                <w:szCs w:val="22"/>
                <w:highlight w:val="none"/>
              </w:rPr>
              <w:t>依据标准</w:t>
            </w:r>
          </w:p>
          <w:p>
            <w:pPr>
              <w:spacing w:line="480" w:lineRule="auto"/>
              <w:rPr>
                <w:sz w:val="22"/>
                <w:szCs w:val="22"/>
                <w:highlight w:val="none"/>
              </w:rPr>
            </w:pPr>
            <w:r>
              <w:rPr>
                <w:rFonts w:hint="eastAsia"/>
                <w:sz w:val="22"/>
                <w:szCs w:val="22"/>
                <w:highlight w:val="none"/>
                <w:lang w:eastAsia="zh-CN"/>
              </w:rPr>
              <w:t>响应供应商</w:t>
            </w:r>
            <w:r>
              <w:rPr>
                <w:sz w:val="22"/>
                <w:szCs w:val="22"/>
                <w:highlight w:val="none"/>
              </w:rPr>
              <w:t>应依据国家等级保护相关标准开展工作，依据标准（包括但不限于）如下国家标准：</w:t>
            </w:r>
          </w:p>
          <w:p>
            <w:pPr>
              <w:spacing w:line="480" w:lineRule="auto"/>
              <w:rPr>
                <w:sz w:val="22"/>
                <w:szCs w:val="22"/>
                <w:highlight w:val="none"/>
              </w:rPr>
            </w:pPr>
            <w:r>
              <w:rPr>
                <w:sz w:val="22"/>
                <w:szCs w:val="22"/>
                <w:highlight w:val="none"/>
              </w:rPr>
              <w:t>1.GB/T 22239-2008 信息安全技术 信息系统安全等级保护基本要求 ；</w:t>
            </w:r>
          </w:p>
          <w:p>
            <w:pPr>
              <w:spacing w:line="480" w:lineRule="auto"/>
              <w:rPr>
                <w:sz w:val="22"/>
                <w:szCs w:val="22"/>
                <w:highlight w:val="none"/>
              </w:rPr>
            </w:pPr>
            <w:r>
              <w:rPr>
                <w:sz w:val="22"/>
                <w:szCs w:val="22"/>
                <w:highlight w:val="none"/>
              </w:rPr>
              <w:t>2.GB/T 22240-2008 信息安全技术 信息系统安全等级保护定级指南；</w:t>
            </w:r>
          </w:p>
          <w:p>
            <w:pPr>
              <w:spacing w:line="480" w:lineRule="auto"/>
              <w:rPr>
                <w:sz w:val="22"/>
                <w:szCs w:val="22"/>
                <w:highlight w:val="none"/>
              </w:rPr>
            </w:pPr>
            <w:r>
              <w:rPr>
                <w:sz w:val="22"/>
                <w:szCs w:val="22"/>
                <w:highlight w:val="none"/>
              </w:rPr>
              <w:t>3.GBT 25058-2010 信息安全技术信息系统安全等级保护实施指南；</w:t>
            </w:r>
          </w:p>
          <w:p>
            <w:pPr>
              <w:spacing w:line="480" w:lineRule="auto"/>
              <w:rPr>
                <w:sz w:val="22"/>
                <w:szCs w:val="22"/>
                <w:highlight w:val="none"/>
              </w:rPr>
            </w:pPr>
            <w:r>
              <w:rPr>
                <w:sz w:val="22"/>
                <w:szCs w:val="22"/>
                <w:highlight w:val="none"/>
              </w:rPr>
              <w:t>4.信息系统安全等级保护测评准则（送审稿）。</w:t>
            </w:r>
          </w:p>
          <w:p>
            <w:pPr>
              <w:spacing w:line="480" w:lineRule="auto"/>
              <w:rPr>
                <w:sz w:val="22"/>
                <w:szCs w:val="22"/>
                <w:highlight w:val="none"/>
              </w:rPr>
            </w:pPr>
            <w:r>
              <w:rPr>
                <w:sz w:val="22"/>
                <w:szCs w:val="22"/>
                <w:highlight w:val="none"/>
              </w:rPr>
              <w:t>测评内容</w:t>
            </w:r>
          </w:p>
          <w:p>
            <w:pPr>
              <w:spacing w:line="480" w:lineRule="auto"/>
              <w:rPr>
                <w:sz w:val="22"/>
                <w:szCs w:val="22"/>
                <w:highlight w:val="none"/>
              </w:rPr>
            </w:pPr>
            <w:r>
              <w:rPr>
                <w:sz w:val="22"/>
                <w:szCs w:val="22"/>
                <w:highlight w:val="none"/>
              </w:rPr>
              <w:t>根据国家等级保护相关标准，</w:t>
            </w:r>
            <w:r>
              <w:rPr>
                <w:rFonts w:hint="eastAsia"/>
                <w:sz w:val="22"/>
                <w:szCs w:val="22"/>
                <w:highlight w:val="none"/>
                <w:lang w:eastAsia="zh-CN"/>
              </w:rPr>
              <w:t>响应供应商</w:t>
            </w:r>
            <w:r>
              <w:rPr>
                <w:sz w:val="22"/>
                <w:szCs w:val="22"/>
                <w:highlight w:val="none"/>
              </w:rPr>
              <w:t>对温州职业技术学院的信息系统完成</w:t>
            </w:r>
            <w:r>
              <w:rPr>
                <w:rFonts w:hint="eastAsia"/>
                <w:sz w:val="22"/>
                <w:szCs w:val="22"/>
                <w:highlight w:val="none"/>
              </w:rPr>
              <w:t>测评</w:t>
            </w:r>
            <w:r>
              <w:rPr>
                <w:sz w:val="22"/>
                <w:szCs w:val="22"/>
                <w:highlight w:val="none"/>
              </w:rPr>
              <w:t>。信息系统安全等级保护测评的内容（包括但不限于）以下内容：</w:t>
            </w:r>
          </w:p>
          <w:p>
            <w:pPr>
              <w:spacing w:line="480" w:lineRule="auto"/>
              <w:rPr>
                <w:sz w:val="22"/>
                <w:szCs w:val="22"/>
                <w:highlight w:val="none"/>
              </w:rPr>
            </w:pPr>
            <w:r>
              <w:rPr>
                <w:sz w:val="22"/>
                <w:szCs w:val="22"/>
                <w:highlight w:val="none"/>
              </w:rPr>
              <w:t>根据用户单位信息系统的保护等级，并依据《GB/T 22239-2008 信息安全技术 信息系统安全等级保护基本要求》、《信息系统安全等级保护测评准则（送审稿）》的条款要求，全面分析应用系统的安全保护措施与等级保护相应级别之间的差距，进行合规性分析，为系统等级保护加固整改提供客观依据，配合委托方督促集成商根据安全改进建议进行适度加固整改，测评的内容包括但不限于以下内容：</w:t>
            </w:r>
          </w:p>
          <w:p>
            <w:pPr>
              <w:spacing w:line="480" w:lineRule="auto"/>
              <w:rPr>
                <w:sz w:val="22"/>
                <w:szCs w:val="22"/>
                <w:highlight w:val="none"/>
              </w:rPr>
            </w:pPr>
            <w:r>
              <w:rPr>
                <w:sz w:val="22"/>
                <w:szCs w:val="22"/>
                <w:highlight w:val="none"/>
              </w:rPr>
              <w:t>1.安全技术测评：包括物理安全、网络安全、主机系统安全、应用安全和数据安全等五个方面的安全测评；</w:t>
            </w:r>
          </w:p>
          <w:p>
            <w:pPr>
              <w:spacing w:line="480" w:lineRule="auto"/>
              <w:rPr>
                <w:sz w:val="22"/>
                <w:szCs w:val="22"/>
                <w:highlight w:val="none"/>
              </w:rPr>
            </w:pPr>
            <w:r>
              <w:rPr>
                <w:sz w:val="22"/>
                <w:szCs w:val="22"/>
                <w:highlight w:val="none"/>
              </w:rPr>
              <w:t>2.安全管理测评：安全管理机构、安全管理制度、人员安全管理、系统建设管理和系统运维管理等五个方面的安全测评。</w:t>
            </w:r>
          </w:p>
          <w:p>
            <w:pPr>
              <w:spacing w:line="480" w:lineRule="auto"/>
              <w:rPr>
                <w:sz w:val="22"/>
                <w:szCs w:val="22"/>
                <w:highlight w:val="none"/>
              </w:rPr>
            </w:pPr>
            <w:r>
              <w:rPr>
                <w:sz w:val="22"/>
                <w:szCs w:val="22"/>
                <w:highlight w:val="none"/>
              </w:rPr>
              <w:t>技术服务</w:t>
            </w:r>
          </w:p>
          <w:p>
            <w:pPr>
              <w:spacing w:line="480" w:lineRule="auto"/>
              <w:rPr>
                <w:sz w:val="22"/>
                <w:szCs w:val="22"/>
                <w:highlight w:val="none"/>
              </w:rPr>
            </w:pPr>
            <w:r>
              <w:rPr>
                <w:sz w:val="22"/>
                <w:szCs w:val="22"/>
                <w:highlight w:val="none"/>
              </w:rPr>
              <w:t>（1）测评应满足的原则</w:t>
            </w:r>
          </w:p>
          <w:p>
            <w:pPr>
              <w:spacing w:line="480" w:lineRule="auto"/>
              <w:rPr>
                <w:sz w:val="22"/>
                <w:szCs w:val="22"/>
                <w:highlight w:val="none"/>
              </w:rPr>
            </w:pPr>
            <w:r>
              <w:rPr>
                <w:sz w:val="22"/>
                <w:szCs w:val="22"/>
                <w:highlight w:val="none"/>
              </w:rPr>
              <w:t>本次安全保护等级保护测评实施方案设计与具体实施应满足以下原则：</w:t>
            </w:r>
          </w:p>
          <w:p>
            <w:pPr>
              <w:spacing w:line="480" w:lineRule="auto"/>
              <w:rPr>
                <w:sz w:val="22"/>
                <w:szCs w:val="22"/>
                <w:highlight w:val="none"/>
              </w:rPr>
            </w:pPr>
            <w:r>
              <w:rPr>
                <w:sz w:val="22"/>
                <w:szCs w:val="22"/>
                <w:highlight w:val="none"/>
              </w:rPr>
              <w:t>a、保密原则：对测评的过程数据和结果数据严格保密，未经授权不得泄露给任何单位和个人，不得利用此数据进行任何侵害采购人的行为，否则采购人有权追究</w:t>
            </w:r>
            <w:r>
              <w:rPr>
                <w:rFonts w:hint="eastAsia"/>
                <w:sz w:val="22"/>
                <w:szCs w:val="22"/>
                <w:highlight w:val="none"/>
                <w:lang w:eastAsia="zh-CN"/>
              </w:rPr>
              <w:t>响应供应商</w:t>
            </w:r>
            <w:r>
              <w:rPr>
                <w:sz w:val="22"/>
                <w:szCs w:val="22"/>
                <w:highlight w:val="none"/>
              </w:rPr>
              <w:t>的责任。</w:t>
            </w:r>
          </w:p>
          <w:p>
            <w:pPr>
              <w:spacing w:line="480" w:lineRule="auto"/>
              <w:rPr>
                <w:sz w:val="22"/>
                <w:szCs w:val="22"/>
                <w:highlight w:val="none"/>
              </w:rPr>
            </w:pPr>
            <w:r>
              <w:rPr>
                <w:sz w:val="22"/>
                <w:szCs w:val="22"/>
                <w:highlight w:val="none"/>
              </w:rPr>
              <w:t>b、标准性原则：测评方案的设计与实施应依据国家等级保护的相关标准进行。</w:t>
            </w:r>
          </w:p>
          <w:p>
            <w:pPr>
              <w:spacing w:line="480" w:lineRule="auto"/>
              <w:rPr>
                <w:sz w:val="22"/>
                <w:szCs w:val="22"/>
                <w:highlight w:val="none"/>
              </w:rPr>
            </w:pPr>
            <w:r>
              <w:rPr>
                <w:sz w:val="22"/>
                <w:szCs w:val="22"/>
                <w:highlight w:val="none"/>
              </w:rPr>
              <w:t>c、规范性原则：</w:t>
            </w:r>
            <w:r>
              <w:rPr>
                <w:rFonts w:hint="eastAsia"/>
                <w:sz w:val="22"/>
                <w:szCs w:val="22"/>
                <w:highlight w:val="none"/>
                <w:lang w:eastAsia="zh-CN"/>
              </w:rPr>
              <w:t>响应供应商</w:t>
            </w:r>
            <w:r>
              <w:rPr>
                <w:sz w:val="22"/>
                <w:szCs w:val="22"/>
                <w:highlight w:val="none"/>
              </w:rPr>
              <w:t>的工作中的过程和文档，具有很好的规范性，可以便于项目的跟踪和控制。</w:t>
            </w:r>
          </w:p>
          <w:p>
            <w:pPr>
              <w:spacing w:line="480" w:lineRule="auto"/>
              <w:rPr>
                <w:sz w:val="22"/>
                <w:szCs w:val="22"/>
                <w:highlight w:val="none"/>
              </w:rPr>
            </w:pPr>
            <w:r>
              <w:rPr>
                <w:sz w:val="22"/>
                <w:szCs w:val="22"/>
                <w:highlight w:val="none"/>
              </w:rPr>
              <w:t>d、可控性原则：测评服务的进度要跟上进度表的安排，保证采购人对于测评工作的可控性。</w:t>
            </w:r>
          </w:p>
          <w:p>
            <w:pPr>
              <w:spacing w:line="480" w:lineRule="auto"/>
              <w:rPr>
                <w:sz w:val="22"/>
                <w:szCs w:val="22"/>
                <w:highlight w:val="none"/>
              </w:rPr>
            </w:pPr>
            <w:r>
              <w:rPr>
                <w:sz w:val="22"/>
                <w:szCs w:val="22"/>
                <w:highlight w:val="none"/>
              </w:rPr>
              <w:t>e、整体性原则：测评的范围和内容应当整体全面，包括国家等级保护相关要求涉及的各个层面。</w:t>
            </w:r>
          </w:p>
          <w:p>
            <w:pPr>
              <w:spacing w:line="480" w:lineRule="auto"/>
              <w:rPr>
                <w:sz w:val="22"/>
                <w:szCs w:val="22"/>
                <w:highlight w:val="none"/>
              </w:rPr>
            </w:pPr>
            <w:r>
              <w:rPr>
                <w:sz w:val="22"/>
                <w:szCs w:val="22"/>
                <w:highlight w:val="none"/>
              </w:rPr>
              <w:t>f、最小影响原则：测评工作应尽可能小的影响系统和网络，并在可控范围内；测评工作不能对现有信息系统的正常运行、业务的正常开展产生任何影响。</w:t>
            </w:r>
          </w:p>
          <w:p>
            <w:pPr>
              <w:spacing w:line="480" w:lineRule="auto"/>
              <w:rPr>
                <w:sz w:val="22"/>
                <w:szCs w:val="22"/>
                <w:highlight w:val="none"/>
              </w:rPr>
            </w:pPr>
            <w:r>
              <w:rPr>
                <w:sz w:val="22"/>
                <w:szCs w:val="22"/>
                <w:highlight w:val="none"/>
              </w:rPr>
              <w:t>（2）安全测评报告</w:t>
            </w:r>
          </w:p>
          <w:p>
            <w:pPr>
              <w:spacing w:line="480" w:lineRule="auto"/>
              <w:rPr>
                <w:sz w:val="22"/>
                <w:szCs w:val="22"/>
                <w:highlight w:val="none"/>
              </w:rPr>
            </w:pPr>
            <w:r>
              <w:rPr>
                <w:sz w:val="22"/>
                <w:szCs w:val="22"/>
                <w:highlight w:val="none"/>
              </w:rPr>
              <w:t>a、</w:t>
            </w:r>
            <w:r>
              <w:rPr>
                <w:rFonts w:hint="eastAsia"/>
                <w:sz w:val="22"/>
                <w:szCs w:val="22"/>
                <w:highlight w:val="none"/>
                <w:lang w:eastAsia="zh-CN"/>
              </w:rPr>
              <w:t>响应供应商</w:t>
            </w:r>
            <w:r>
              <w:rPr>
                <w:sz w:val="22"/>
                <w:szCs w:val="22"/>
                <w:highlight w:val="none"/>
              </w:rPr>
              <w:t>应对采购人的信息系统进行等级保护测评，形成相应的报告。</w:t>
            </w:r>
          </w:p>
          <w:p>
            <w:pPr>
              <w:spacing w:line="480" w:lineRule="auto"/>
              <w:rPr>
                <w:sz w:val="22"/>
                <w:szCs w:val="22"/>
                <w:highlight w:val="none"/>
              </w:rPr>
            </w:pPr>
            <w:r>
              <w:rPr>
                <w:sz w:val="22"/>
                <w:szCs w:val="22"/>
                <w:highlight w:val="none"/>
              </w:rPr>
              <w:t>b、</w:t>
            </w:r>
            <w:r>
              <w:rPr>
                <w:rFonts w:hint="eastAsia"/>
                <w:sz w:val="22"/>
                <w:szCs w:val="22"/>
                <w:highlight w:val="none"/>
                <w:lang w:eastAsia="zh-CN"/>
              </w:rPr>
              <w:t>响应供应商</w:t>
            </w:r>
            <w:r>
              <w:rPr>
                <w:sz w:val="22"/>
                <w:szCs w:val="22"/>
                <w:highlight w:val="none"/>
              </w:rPr>
              <w:t>在测评后出具符合公安局要求的系统安全保护等级测评报告；</w:t>
            </w:r>
          </w:p>
          <w:p>
            <w:pPr>
              <w:spacing w:line="480" w:lineRule="auto"/>
              <w:rPr>
                <w:sz w:val="22"/>
                <w:szCs w:val="22"/>
                <w:highlight w:val="none"/>
              </w:rPr>
            </w:pPr>
            <w:r>
              <w:rPr>
                <w:sz w:val="22"/>
                <w:szCs w:val="22"/>
                <w:highlight w:val="none"/>
              </w:rPr>
              <w:t>c、对上述系统不符合信息安全等级保护有关管理规范和技术标准的，</w:t>
            </w:r>
            <w:r>
              <w:rPr>
                <w:rFonts w:hint="eastAsia"/>
                <w:sz w:val="22"/>
                <w:szCs w:val="22"/>
                <w:highlight w:val="none"/>
                <w:lang w:eastAsia="zh-CN"/>
              </w:rPr>
              <w:t>响应供应商</w:t>
            </w:r>
            <w:r>
              <w:rPr>
                <w:sz w:val="22"/>
                <w:szCs w:val="22"/>
                <w:highlight w:val="none"/>
              </w:rPr>
              <w:t>出具可行整改方案并协助采购人整改服务。</w:t>
            </w:r>
          </w:p>
          <w:p>
            <w:pPr>
              <w:spacing w:line="480" w:lineRule="auto"/>
              <w:rPr>
                <w:sz w:val="22"/>
                <w:szCs w:val="22"/>
                <w:highlight w:val="none"/>
              </w:rPr>
            </w:pPr>
            <w:r>
              <w:rPr>
                <w:sz w:val="22"/>
                <w:szCs w:val="22"/>
                <w:highlight w:val="none"/>
              </w:rPr>
              <w:t>d、</w:t>
            </w:r>
            <w:r>
              <w:rPr>
                <w:rFonts w:hint="eastAsia"/>
                <w:sz w:val="22"/>
                <w:szCs w:val="22"/>
                <w:highlight w:val="none"/>
                <w:lang w:eastAsia="zh-CN"/>
              </w:rPr>
              <w:t>响应供应商</w:t>
            </w:r>
            <w:r>
              <w:rPr>
                <w:sz w:val="22"/>
                <w:szCs w:val="22"/>
                <w:highlight w:val="none"/>
              </w:rPr>
              <w:t>协助采购人办理信息系统安全保护等级测评备案手续。</w:t>
            </w:r>
          </w:p>
          <w:p>
            <w:pPr>
              <w:spacing w:line="480" w:lineRule="auto"/>
              <w:rPr>
                <w:sz w:val="22"/>
                <w:szCs w:val="22"/>
                <w:highlight w:val="none"/>
              </w:rPr>
            </w:pPr>
            <w:r>
              <w:rPr>
                <w:sz w:val="22"/>
                <w:szCs w:val="22"/>
                <w:highlight w:val="none"/>
              </w:rPr>
              <w:t>（3）本次等级保护测评的整体要求</w:t>
            </w:r>
          </w:p>
          <w:p>
            <w:pPr>
              <w:spacing w:line="480" w:lineRule="auto"/>
              <w:rPr>
                <w:sz w:val="22"/>
                <w:szCs w:val="22"/>
                <w:highlight w:val="none"/>
              </w:rPr>
            </w:pPr>
            <w:r>
              <w:rPr>
                <w:sz w:val="22"/>
                <w:szCs w:val="22"/>
                <w:highlight w:val="none"/>
              </w:rPr>
              <w:t>A、</w:t>
            </w:r>
            <w:r>
              <w:rPr>
                <w:rFonts w:hint="eastAsia"/>
                <w:sz w:val="22"/>
                <w:szCs w:val="22"/>
                <w:highlight w:val="none"/>
                <w:lang w:eastAsia="zh-CN"/>
              </w:rPr>
              <w:t>响应供应商</w:t>
            </w:r>
            <w:r>
              <w:rPr>
                <w:sz w:val="22"/>
                <w:szCs w:val="22"/>
                <w:highlight w:val="none"/>
              </w:rPr>
              <w:t>应详细描述本次等级保护测评的整体实施方案，包括项目概述、等保测评方案、项目实施方案、测试过程中需使用测试设备清单、时间安排、阶段性文档提交和验收标准等。</w:t>
            </w:r>
          </w:p>
          <w:p>
            <w:pPr>
              <w:spacing w:line="480" w:lineRule="auto"/>
              <w:rPr>
                <w:sz w:val="22"/>
                <w:szCs w:val="22"/>
                <w:highlight w:val="none"/>
              </w:rPr>
            </w:pPr>
            <w:r>
              <w:rPr>
                <w:sz w:val="22"/>
                <w:szCs w:val="22"/>
                <w:highlight w:val="none"/>
              </w:rPr>
              <w:t>B、</w:t>
            </w:r>
            <w:r>
              <w:rPr>
                <w:rFonts w:hint="eastAsia"/>
                <w:sz w:val="22"/>
                <w:szCs w:val="22"/>
                <w:highlight w:val="none"/>
                <w:lang w:eastAsia="zh-CN"/>
              </w:rPr>
              <w:t>响应供应商</w:t>
            </w:r>
            <w:r>
              <w:rPr>
                <w:sz w:val="22"/>
                <w:szCs w:val="22"/>
                <w:highlight w:val="none"/>
              </w:rPr>
              <w:t>应详细描述测评人员的组成、资质及各自职责的划分。</w:t>
            </w:r>
            <w:r>
              <w:rPr>
                <w:rFonts w:hint="eastAsia"/>
                <w:sz w:val="22"/>
                <w:szCs w:val="22"/>
                <w:highlight w:val="none"/>
                <w:lang w:eastAsia="zh-CN"/>
              </w:rPr>
              <w:t>响应供应商</w:t>
            </w:r>
            <w:r>
              <w:rPr>
                <w:sz w:val="22"/>
                <w:szCs w:val="22"/>
                <w:highlight w:val="none"/>
              </w:rPr>
              <w:t xml:space="preserve">应配置有经验的测评人员进行本次等级保护测评工作。 </w:t>
            </w:r>
          </w:p>
          <w:p>
            <w:pPr>
              <w:spacing w:line="480" w:lineRule="auto"/>
              <w:rPr>
                <w:sz w:val="22"/>
                <w:szCs w:val="22"/>
                <w:highlight w:val="none"/>
              </w:rPr>
            </w:pPr>
            <w:r>
              <w:rPr>
                <w:sz w:val="22"/>
                <w:szCs w:val="22"/>
                <w:highlight w:val="none"/>
              </w:rPr>
              <w:t>C、本次等级保护测评实施过程中所使用到的各种工具软件由</w:t>
            </w:r>
            <w:r>
              <w:rPr>
                <w:rFonts w:hint="eastAsia"/>
                <w:sz w:val="22"/>
                <w:szCs w:val="22"/>
                <w:highlight w:val="none"/>
                <w:lang w:eastAsia="zh-CN"/>
              </w:rPr>
              <w:t>响应供应商</w:t>
            </w:r>
            <w:r>
              <w:rPr>
                <w:sz w:val="22"/>
                <w:szCs w:val="22"/>
                <w:highlight w:val="none"/>
              </w:rPr>
              <w:t>推荐，经采购人确认后由</w:t>
            </w:r>
            <w:r>
              <w:rPr>
                <w:rFonts w:hint="eastAsia"/>
                <w:sz w:val="22"/>
                <w:szCs w:val="22"/>
                <w:highlight w:val="none"/>
                <w:lang w:eastAsia="zh-CN"/>
              </w:rPr>
              <w:t>响应供应商</w:t>
            </w:r>
            <w:r>
              <w:rPr>
                <w:sz w:val="22"/>
                <w:szCs w:val="22"/>
                <w:highlight w:val="none"/>
              </w:rPr>
              <w:t>提供并在测评中使用。在报价文件中应详细描述所使用的安全测评工具（软硬件型号、功能和性能描述）、使用的方式和时间、对环境和平台的要求以及使用可能对系统造成的风险等。</w:t>
            </w:r>
          </w:p>
          <w:p>
            <w:pPr>
              <w:spacing w:line="480" w:lineRule="auto"/>
              <w:rPr>
                <w:sz w:val="22"/>
                <w:szCs w:val="22"/>
                <w:highlight w:val="none"/>
              </w:rPr>
            </w:pPr>
            <w:r>
              <w:rPr>
                <w:sz w:val="22"/>
                <w:szCs w:val="22"/>
                <w:highlight w:val="none"/>
              </w:rPr>
              <w:t>D、安全测评工具软件运行可能需要的硬件平台（如笔记本电脑、PC、工作站等）和操作系统软件等由</w:t>
            </w:r>
            <w:r>
              <w:rPr>
                <w:rFonts w:hint="eastAsia"/>
                <w:sz w:val="22"/>
                <w:szCs w:val="22"/>
                <w:highlight w:val="none"/>
                <w:lang w:eastAsia="zh-CN"/>
              </w:rPr>
              <w:t>响应供应商</w:t>
            </w:r>
            <w:r>
              <w:rPr>
                <w:sz w:val="22"/>
                <w:szCs w:val="22"/>
                <w:highlight w:val="none"/>
              </w:rPr>
              <w:t>推荐，经采购人确认后由</w:t>
            </w:r>
            <w:r>
              <w:rPr>
                <w:rFonts w:hint="eastAsia"/>
                <w:sz w:val="22"/>
                <w:szCs w:val="22"/>
                <w:highlight w:val="none"/>
                <w:lang w:eastAsia="zh-CN"/>
              </w:rPr>
              <w:t>响应供应商</w:t>
            </w:r>
            <w:r>
              <w:rPr>
                <w:sz w:val="22"/>
                <w:szCs w:val="22"/>
                <w:highlight w:val="none"/>
              </w:rPr>
              <w:t>提供并在测评中使用。</w:t>
            </w:r>
          </w:p>
          <w:p>
            <w:pPr>
              <w:spacing w:line="480" w:lineRule="auto"/>
              <w:rPr>
                <w:sz w:val="22"/>
                <w:szCs w:val="22"/>
                <w:highlight w:val="none"/>
              </w:rPr>
            </w:pPr>
            <w:r>
              <w:rPr>
                <w:sz w:val="22"/>
                <w:szCs w:val="22"/>
                <w:highlight w:val="none"/>
              </w:rPr>
              <w:t>E、安全测评需要的运行环境（如场地、网络环境等）由采购人提供，</w:t>
            </w:r>
            <w:r>
              <w:rPr>
                <w:rFonts w:hint="eastAsia"/>
                <w:sz w:val="22"/>
                <w:szCs w:val="22"/>
                <w:highlight w:val="none"/>
                <w:lang w:eastAsia="zh-CN"/>
              </w:rPr>
              <w:t>响应供应商</w:t>
            </w:r>
            <w:r>
              <w:rPr>
                <w:sz w:val="22"/>
                <w:szCs w:val="22"/>
                <w:highlight w:val="none"/>
              </w:rPr>
              <w:t>应详细描述需要的运行环境的具体要求。</w:t>
            </w:r>
          </w:p>
          <w:p>
            <w:pPr>
              <w:spacing w:line="480" w:lineRule="auto"/>
              <w:rPr>
                <w:sz w:val="22"/>
                <w:szCs w:val="22"/>
                <w:highlight w:val="none"/>
              </w:rPr>
            </w:pPr>
            <w:r>
              <w:rPr>
                <w:sz w:val="22"/>
                <w:szCs w:val="22"/>
                <w:highlight w:val="none"/>
              </w:rPr>
              <w:t>项目验收</w:t>
            </w:r>
          </w:p>
          <w:p>
            <w:pPr>
              <w:spacing w:line="480" w:lineRule="auto"/>
              <w:rPr>
                <w:sz w:val="22"/>
                <w:szCs w:val="22"/>
                <w:highlight w:val="none"/>
              </w:rPr>
            </w:pPr>
            <w:r>
              <w:rPr>
                <w:sz w:val="22"/>
                <w:szCs w:val="22"/>
                <w:highlight w:val="none"/>
              </w:rPr>
              <w:t>（1）本项目的目标是输出等级保护测评报告，并配合办理信息系统安全保护测评评备案手续，该项目将产生一定数量的文档。</w:t>
            </w:r>
          </w:p>
          <w:p>
            <w:pPr>
              <w:spacing w:line="480" w:lineRule="auto"/>
              <w:rPr>
                <w:sz w:val="22"/>
                <w:szCs w:val="22"/>
                <w:highlight w:val="none"/>
              </w:rPr>
            </w:pPr>
            <w:r>
              <w:rPr>
                <w:sz w:val="22"/>
                <w:szCs w:val="22"/>
                <w:highlight w:val="none"/>
              </w:rPr>
              <w:t>（2）</w:t>
            </w:r>
            <w:r>
              <w:rPr>
                <w:rFonts w:hint="eastAsia"/>
                <w:sz w:val="22"/>
                <w:szCs w:val="22"/>
                <w:highlight w:val="none"/>
                <w:lang w:eastAsia="zh-CN"/>
              </w:rPr>
              <w:t>响应供应商</w:t>
            </w:r>
            <w:r>
              <w:rPr>
                <w:sz w:val="22"/>
                <w:szCs w:val="22"/>
                <w:highlight w:val="none"/>
              </w:rPr>
              <w:t>应对所有正式交付件的综合质量审查负责，指定各交付件的相关责任人，明确相关职责。</w:t>
            </w:r>
          </w:p>
          <w:p>
            <w:pPr>
              <w:spacing w:line="480" w:lineRule="auto"/>
              <w:rPr>
                <w:sz w:val="22"/>
                <w:szCs w:val="22"/>
                <w:highlight w:val="none"/>
              </w:rPr>
            </w:pPr>
            <w:r>
              <w:rPr>
                <w:sz w:val="22"/>
                <w:szCs w:val="22"/>
                <w:highlight w:val="none"/>
              </w:rPr>
              <w:t>（3）</w:t>
            </w:r>
            <w:r>
              <w:rPr>
                <w:rFonts w:hint="eastAsia"/>
                <w:sz w:val="22"/>
                <w:szCs w:val="22"/>
                <w:highlight w:val="none"/>
                <w:lang w:eastAsia="zh-CN"/>
              </w:rPr>
              <w:t>响应供应商</w:t>
            </w:r>
            <w:r>
              <w:rPr>
                <w:sz w:val="22"/>
                <w:szCs w:val="22"/>
                <w:highlight w:val="none"/>
              </w:rPr>
              <w:t>应提交验收方案，供采购人参考。</w:t>
            </w:r>
          </w:p>
          <w:p>
            <w:pPr>
              <w:spacing w:line="480" w:lineRule="auto"/>
              <w:rPr>
                <w:sz w:val="22"/>
                <w:szCs w:val="22"/>
                <w:highlight w:val="none"/>
              </w:rPr>
            </w:pPr>
            <w:r>
              <w:rPr>
                <w:sz w:val="22"/>
                <w:szCs w:val="22"/>
                <w:highlight w:val="none"/>
              </w:rPr>
              <w:t>（4）采购人将依据本项目的要求，组织相关部门或单位的技术专家对</w:t>
            </w:r>
            <w:r>
              <w:rPr>
                <w:rFonts w:hint="eastAsia"/>
                <w:sz w:val="22"/>
                <w:szCs w:val="22"/>
                <w:highlight w:val="none"/>
                <w:lang w:eastAsia="zh-CN"/>
              </w:rPr>
              <w:t>响应供应商</w:t>
            </w:r>
            <w:r>
              <w:rPr>
                <w:sz w:val="22"/>
                <w:szCs w:val="22"/>
                <w:highlight w:val="none"/>
              </w:rPr>
              <w:t>提交的项目成果进行验收。</w:t>
            </w:r>
          </w:p>
          <w:p>
            <w:pPr>
              <w:spacing w:line="480" w:lineRule="auto"/>
              <w:rPr>
                <w:sz w:val="22"/>
                <w:szCs w:val="22"/>
                <w:highlight w:val="none"/>
              </w:rPr>
            </w:pPr>
            <w:r>
              <w:rPr>
                <w:sz w:val="22"/>
                <w:szCs w:val="22"/>
                <w:highlight w:val="none"/>
              </w:rPr>
              <w:t>项目承诺</w:t>
            </w:r>
          </w:p>
          <w:p>
            <w:pPr>
              <w:spacing w:line="480" w:lineRule="auto"/>
              <w:rPr>
                <w:sz w:val="22"/>
                <w:szCs w:val="22"/>
                <w:highlight w:val="none"/>
              </w:rPr>
            </w:pPr>
            <w:r>
              <w:rPr>
                <w:sz w:val="22"/>
                <w:szCs w:val="22"/>
                <w:highlight w:val="none"/>
              </w:rPr>
              <w:t>（1）</w:t>
            </w:r>
            <w:r>
              <w:rPr>
                <w:rFonts w:hint="eastAsia"/>
                <w:sz w:val="22"/>
                <w:szCs w:val="22"/>
                <w:highlight w:val="none"/>
                <w:lang w:eastAsia="zh-CN"/>
              </w:rPr>
              <w:t>响应供应商</w:t>
            </w:r>
            <w:r>
              <w:rPr>
                <w:sz w:val="22"/>
                <w:szCs w:val="22"/>
                <w:highlight w:val="none"/>
              </w:rPr>
              <w:t>应满足采购人提出的标准性、规范性、可控性、整体性、最小影响性及保密性原则，做到守时、保质。</w:t>
            </w:r>
          </w:p>
          <w:p>
            <w:pPr>
              <w:spacing w:line="480" w:lineRule="auto"/>
              <w:rPr>
                <w:sz w:val="22"/>
                <w:szCs w:val="22"/>
                <w:highlight w:val="none"/>
              </w:rPr>
            </w:pPr>
            <w:r>
              <w:rPr>
                <w:sz w:val="22"/>
                <w:szCs w:val="22"/>
                <w:highlight w:val="none"/>
              </w:rPr>
              <w:t>（2）保密性要求：</w:t>
            </w:r>
            <w:r>
              <w:rPr>
                <w:rFonts w:hint="eastAsia"/>
                <w:sz w:val="22"/>
                <w:szCs w:val="22"/>
                <w:highlight w:val="none"/>
                <w:lang w:eastAsia="zh-CN"/>
              </w:rPr>
              <w:t>响应供应商</w:t>
            </w:r>
            <w:r>
              <w:rPr>
                <w:sz w:val="22"/>
                <w:szCs w:val="22"/>
                <w:highlight w:val="none"/>
              </w:rPr>
              <w:t>必须和采购人签订保密协议和非侵害性协议，</w:t>
            </w:r>
            <w:r>
              <w:rPr>
                <w:rFonts w:hint="eastAsia"/>
                <w:sz w:val="22"/>
                <w:szCs w:val="22"/>
                <w:highlight w:val="none"/>
                <w:lang w:eastAsia="zh-CN"/>
              </w:rPr>
              <w:t>响应供应商</w:t>
            </w:r>
            <w:r>
              <w:rPr>
                <w:sz w:val="22"/>
                <w:szCs w:val="22"/>
                <w:highlight w:val="none"/>
              </w:rPr>
              <w:t>必须要与参加此次测评项目的所有项目组成员签订保密协议和非侵害性协议，在合同签定时一并提供给采购人。</w:t>
            </w:r>
          </w:p>
          <w:p>
            <w:pPr>
              <w:spacing w:line="480" w:lineRule="auto"/>
              <w:rPr>
                <w:sz w:val="22"/>
                <w:szCs w:val="22"/>
                <w:highlight w:val="none"/>
              </w:rPr>
            </w:pPr>
            <w:r>
              <w:rPr>
                <w:sz w:val="22"/>
                <w:szCs w:val="22"/>
                <w:highlight w:val="none"/>
              </w:rPr>
              <w:t>（3）</w:t>
            </w:r>
            <w:r>
              <w:rPr>
                <w:rFonts w:hint="eastAsia"/>
                <w:sz w:val="22"/>
                <w:szCs w:val="22"/>
                <w:highlight w:val="none"/>
                <w:lang w:eastAsia="zh-CN"/>
              </w:rPr>
              <w:t>响应供应商</w:t>
            </w:r>
            <w:r>
              <w:rPr>
                <w:sz w:val="22"/>
                <w:szCs w:val="22"/>
                <w:highlight w:val="none"/>
              </w:rPr>
              <w:t>具体测评工作和等级保护测评报告的编写，必须在采购人的指定地点进行。对于测评中的重要资料和结果，在测评期间和测评结束后，</w:t>
            </w:r>
            <w:r>
              <w:rPr>
                <w:rFonts w:hint="eastAsia"/>
                <w:sz w:val="22"/>
                <w:szCs w:val="22"/>
                <w:highlight w:val="none"/>
                <w:lang w:eastAsia="zh-CN"/>
              </w:rPr>
              <w:t>响应供应商</w:t>
            </w:r>
            <w:r>
              <w:rPr>
                <w:sz w:val="22"/>
                <w:szCs w:val="22"/>
                <w:highlight w:val="none"/>
              </w:rPr>
              <w:t>不得带离该地点。</w:t>
            </w:r>
          </w:p>
          <w:p>
            <w:pPr>
              <w:spacing w:line="480" w:lineRule="auto"/>
              <w:rPr>
                <w:sz w:val="22"/>
                <w:szCs w:val="22"/>
                <w:highlight w:val="none"/>
              </w:rPr>
            </w:pPr>
            <w:r>
              <w:rPr>
                <w:sz w:val="22"/>
                <w:szCs w:val="22"/>
                <w:highlight w:val="none"/>
              </w:rPr>
              <w:t>（4）</w:t>
            </w:r>
            <w:r>
              <w:rPr>
                <w:rFonts w:hint="eastAsia"/>
                <w:sz w:val="22"/>
                <w:szCs w:val="22"/>
                <w:highlight w:val="none"/>
                <w:lang w:eastAsia="zh-CN"/>
              </w:rPr>
              <w:t>响应供应商</w:t>
            </w:r>
            <w:r>
              <w:rPr>
                <w:sz w:val="22"/>
                <w:szCs w:val="22"/>
                <w:highlight w:val="none"/>
              </w:rPr>
              <w:t>对本规范书中的内容及在应标过程中接触的设备信息、数据资料等负有保密责任，不得泄露给任何第三方。无论</w:t>
            </w:r>
            <w:r>
              <w:rPr>
                <w:rFonts w:hint="eastAsia"/>
                <w:sz w:val="22"/>
                <w:szCs w:val="22"/>
                <w:highlight w:val="none"/>
                <w:lang w:eastAsia="zh-CN"/>
              </w:rPr>
              <w:t>响应供应商</w:t>
            </w:r>
            <w:r>
              <w:rPr>
                <w:sz w:val="22"/>
                <w:szCs w:val="22"/>
                <w:highlight w:val="none"/>
              </w:rPr>
              <w:t>中标与否，其对上述内容的保密责任将长期存在。</w:t>
            </w:r>
          </w:p>
          <w:p>
            <w:pPr>
              <w:spacing w:line="480" w:lineRule="auto"/>
              <w:rPr>
                <w:sz w:val="22"/>
                <w:szCs w:val="22"/>
                <w:highlight w:val="none"/>
              </w:rPr>
            </w:pPr>
            <w:r>
              <w:rPr>
                <w:sz w:val="22"/>
                <w:szCs w:val="22"/>
                <w:highlight w:val="none"/>
              </w:rPr>
              <w:t>（5）等级保护测评的品质保证：</w:t>
            </w:r>
            <w:r>
              <w:rPr>
                <w:rFonts w:hint="eastAsia"/>
                <w:sz w:val="22"/>
                <w:szCs w:val="22"/>
                <w:highlight w:val="none"/>
                <w:lang w:eastAsia="zh-CN"/>
              </w:rPr>
              <w:t>响应供应商</w:t>
            </w:r>
            <w:r>
              <w:rPr>
                <w:sz w:val="22"/>
                <w:szCs w:val="22"/>
                <w:highlight w:val="none"/>
              </w:rPr>
              <w:t>应承诺指派工作经验丰富、技术实力雄厚的安全顾问，结合技术领先、结论可靠的测评工具为客户作全面等级保护测评。承诺测评过程按照国家标准进行，并保证对客户的资料严格保密。</w:t>
            </w:r>
          </w:p>
          <w:p>
            <w:pPr>
              <w:spacing w:line="480" w:lineRule="auto"/>
              <w:rPr>
                <w:sz w:val="22"/>
                <w:szCs w:val="22"/>
                <w:highlight w:val="none"/>
              </w:rPr>
            </w:pPr>
            <w:r>
              <w:rPr>
                <w:sz w:val="22"/>
                <w:szCs w:val="22"/>
                <w:highlight w:val="none"/>
              </w:rPr>
              <w:t>其它要求</w:t>
            </w:r>
          </w:p>
          <w:p>
            <w:pPr>
              <w:spacing w:line="480" w:lineRule="auto"/>
              <w:rPr>
                <w:sz w:val="22"/>
                <w:szCs w:val="22"/>
                <w:highlight w:val="none"/>
              </w:rPr>
            </w:pPr>
            <w:r>
              <w:rPr>
                <w:sz w:val="22"/>
                <w:szCs w:val="22"/>
                <w:highlight w:val="none"/>
              </w:rPr>
              <w:t>（1）</w:t>
            </w:r>
            <w:r>
              <w:rPr>
                <w:rFonts w:hint="eastAsia"/>
                <w:sz w:val="22"/>
                <w:szCs w:val="22"/>
                <w:highlight w:val="none"/>
                <w:lang w:eastAsia="zh-CN"/>
              </w:rPr>
              <w:t>响应供应商</w:t>
            </w:r>
            <w:r>
              <w:rPr>
                <w:sz w:val="22"/>
                <w:szCs w:val="22"/>
                <w:highlight w:val="none"/>
              </w:rPr>
              <w:t>在测评方案书中，对能提供的信息系统安全等级保护测评进行详细说明，可根据具体情况在项目方案中提出建议，并附详细资料和说明。</w:t>
            </w:r>
          </w:p>
          <w:p>
            <w:pPr>
              <w:spacing w:line="480" w:lineRule="auto"/>
              <w:rPr>
                <w:sz w:val="22"/>
                <w:szCs w:val="22"/>
                <w:highlight w:val="none"/>
              </w:rPr>
            </w:pPr>
            <w:r>
              <w:rPr>
                <w:sz w:val="22"/>
                <w:szCs w:val="22"/>
                <w:highlight w:val="none"/>
              </w:rPr>
              <w:t>（2）</w:t>
            </w:r>
            <w:r>
              <w:rPr>
                <w:rFonts w:hint="eastAsia"/>
                <w:sz w:val="22"/>
                <w:szCs w:val="22"/>
                <w:highlight w:val="none"/>
                <w:lang w:eastAsia="zh-CN"/>
              </w:rPr>
              <w:t>响应供应商</w:t>
            </w:r>
            <w:r>
              <w:rPr>
                <w:sz w:val="22"/>
                <w:szCs w:val="22"/>
                <w:highlight w:val="none"/>
              </w:rPr>
              <w:t>应对提供测评服务时所使用的设备及软件保证拥有设备软硬件的知识产权和所有权，并对所涉及的专利、知识产权等法律条款承担义务，采购人以上问题不承担任何法律责任。</w:t>
            </w:r>
          </w:p>
          <w:p>
            <w:pPr>
              <w:spacing w:line="480" w:lineRule="auto"/>
              <w:rPr>
                <w:sz w:val="22"/>
                <w:szCs w:val="22"/>
                <w:highlight w:val="none"/>
              </w:rPr>
            </w:pPr>
            <w:r>
              <w:rPr>
                <w:sz w:val="22"/>
                <w:szCs w:val="22"/>
                <w:highlight w:val="none"/>
              </w:rPr>
              <w:t>（3）若</w:t>
            </w:r>
            <w:r>
              <w:rPr>
                <w:rFonts w:hint="eastAsia"/>
                <w:sz w:val="22"/>
                <w:szCs w:val="22"/>
                <w:highlight w:val="none"/>
                <w:lang w:eastAsia="zh-CN"/>
              </w:rPr>
              <w:t>响应供应商</w:t>
            </w:r>
            <w:r>
              <w:rPr>
                <w:sz w:val="22"/>
                <w:szCs w:val="22"/>
                <w:highlight w:val="none"/>
              </w:rPr>
              <w:t>的设备和系统包含自己的专用标准，应在建议书中具体说明，并附上相应的详细技术资料。</w:t>
            </w:r>
          </w:p>
          <w:p>
            <w:pPr>
              <w:spacing w:line="480" w:lineRule="auto"/>
              <w:rPr>
                <w:sz w:val="22"/>
                <w:szCs w:val="22"/>
                <w:highlight w:val="none"/>
              </w:rPr>
            </w:pPr>
            <w:r>
              <w:rPr>
                <w:sz w:val="22"/>
                <w:szCs w:val="22"/>
                <w:highlight w:val="none"/>
              </w:rPr>
              <w:t>项目成果</w:t>
            </w:r>
          </w:p>
          <w:p>
            <w:pPr>
              <w:spacing w:line="480" w:lineRule="auto"/>
              <w:rPr>
                <w:sz w:val="22"/>
                <w:szCs w:val="22"/>
                <w:highlight w:val="none"/>
              </w:rPr>
            </w:pPr>
            <w:r>
              <w:rPr>
                <w:sz w:val="22"/>
                <w:szCs w:val="22"/>
                <w:highlight w:val="none"/>
              </w:rPr>
              <w:t>提交包括且不仅仅包括以下成果：</w:t>
            </w:r>
          </w:p>
          <w:p>
            <w:pPr>
              <w:spacing w:line="480" w:lineRule="auto"/>
              <w:rPr>
                <w:sz w:val="22"/>
                <w:szCs w:val="22"/>
                <w:highlight w:val="none"/>
              </w:rPr>
            </w:pPr>
            <w:r>
              <w:rPr>
                <w:sz w:val="22"/>
                <w:szCs w:val="22"/>
                <w:highlight w:val="none"/>
              </w:rPr>
              <w:t>《信息系统安全整改</w:t>
            </w:r>
            <w:r>
              <w:rPr>
                <w:rFonts w:hint="eastAsia"/>
                <w:sz w:val="22"/>
                <w:szCs w:val="22"/>
                <w:highlight w:val="none"/>
              </w:rPr>
              <w:t>规划</w:t>
            </w:r>
            <w:r>
              <w:rPr>
                <w:sz w:val="22"/>
                <w:szCs w:val="22"/>
                <w:highlight w:val="none"/>
              </w:rPr>
              <w:t>》</w:t>
            </w:r>
          </w:p>
          <w:p>
            <w:pPr>
              <w:spacing w:line="480" w:lineRule="auto"/>
              <w:rPr>
                <w:rFonts w:hint="eastAsia"/>
                <w:sz w:val="22"/>
                <w:szCs w:val="22"/>
                <w:highlight w:val="none"/>
              </w:rPr>
            </w:pPr>
            <w:r>
              <w:rPr>
                <w:sz w:val="22"/>
                <w:szCs w:val="22"/>
                <w:highlight w:val="none"/>
              </w:rPr>
              <w:t>《信息系统等级保护测评报告》</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9F34CE"/>
    <w:rsid w:val="696B7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lock Text"/>
    <w:basedOn w:val="1"/>
    <w:uiPriority w:val="0"/>
    <w:pPr>
      <w:adjustRightInd w:val="0"/>
      <w:spacing w:line="300" w:lineRule="auto"/>
      <w:ind w:left="958" w:rightChars="-120"/>
      <w:jc w:val="left"/>
    </w:pPr>
    <w:rPr>
      <w:rFonts w:ascii="宋体" w:hAnsi="宋体"/>
      <w:sz w:val="2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me</dc:creator>
  <cp:lastModifiedBy>Administrator</cp:lastModifiedBy>
  <dcterms:modified xsi:type="dcterms:W3CDTF">2019-08-14T05:43:40Z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