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exact"/>
        <w:jc w:val="center"/>
        <w:rPr>
          <w:rFonts w:hint="eastAsia" w:ascii="宋体" w:hAnsi="宋体" w:eastAsia="宋体" w:cs="宋体"/>
          <w:b/>
          <w:bCs/>
          <w:spacing w:val="-6"/>
          <w:sz w:val="22"/>
          <w:szCs w:val="22"/>
          <w:highlight w:val="none"/>
          <w:lang w:eastAsia="zh-CN"/>
        </w:rPr>
      </w:pPr>
      <w:r>
        <w:rPr>
          <w:rFonts w:hint="eastAsia" w:ascii="宋体" w:hAnsi="宋体" w:cs="宋体"/>
          <w:b/>
          <w:bCs/>
          <w:spacing w:val="-6"/>
          <w:sz w:val="22"/>
          <w:szCs w:val="22"/>
          <w:highlight w:val="none"/>
          <w:lang w:eastAsia="zh-CN"/>
        </w:rPr>
        <w:t>采购需求</w:t>
      </w:r>
    </w:p>
    <w:p>
      <w:pPr>
        <w:snapToGrid w:val="0"/>
        <w:spacing w:line="360" w:lineRule="exact"/>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一、采购内容及数量</w:t>
      </w:r>
    </w:p>
    <w:tbl>
      <w:tblPr>
        <w:tblStyle w:val="3"/>
        <w:tblW w:w="93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3748"/>
        <w:gridCol w:w="1213"/>
        <w:gridCol w:w="2275"/>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70" w:type="dxa"/>
            <w:noWrap w:val="0"/>
            <w:vAlign w:val="center"/>
          </w:tcPr>
          <w:p>
            <w:pPr>
              <w:spacing w:line="360" w:lineRule="exact"/>
              <w:jc w:val="center"/>
              <w:rPr>
                <w:rFonts w:hint="eastAsia" w:ascii="宋体" w:hAnsi="宋体" w:cs="宋体"/>
                <w:b/>
                <w:spacing w:val="-6"/>
                <w:sz w:val="22"/>
                <w:szCs w:val="22"/>
                <w:highlight w:val="none"/>
              </w:rPr>
            </w:pPr>
            <w:r>
              <w:rPr>
                <w:rFonts w:hint="eastAsia" w:ascii="宋体" w:hAnsi="宋体" w:cs="宋体"/>
                <w:b/>
                <w:spacing w:val="-6"/>
                <w:sz w:val="22"/>
                <w:szCs w:val="22"/>
                <w:highlight w:val="none"/>
              </w:rPr>
              <w:t>序号</w:t>
            </w:r>
          </w:p>
        </w:tc>
        <w:tc>
          <w:tcPr>
            <w:tcW w:w="3748" w:type="dxa"/>
            <w:noWrap w:val="0"/>
            <w:vAlign w:val="center"/>
          </w:tcPr>
          <w:p>
            <w:pPr>
              <w:spacing w:line="360" w:lineRule="exact"/>
              <w:jc w:val="center"/>
              <w:rPr>
                <w:rFonts w:hint="eastAsia" w:ascii="宋体" w:hAnsi="宋体" w:cs="宋体"/>
                <w:b/>
                <w:spacing w:val="-6"/>
                <w:sz w:val="22"/>
                <w:szCs w:val="22"/>
                <w:highlight w:val="none"/>
              </w:rPr>
            </w:pPr>
            <w:r>
              <w:rPr>
                <w:rFonts w:hint="eastAsia" w:ascii="宋体" w:hAnsi="宋体" w:cs="宋体"/>
                <w:b/>
                <w:spacing w:val="-6"/>
                <w:sz w:val="22"/>
                <w:szCs w:val="22"/>
                <w:highlight w:val="none"/>
              </w:rPr>
              <w:t>项目名称</w:t>
            </w:r>
          </w:p>
        </w:tc>
        <w:tc>
          <w:tcPr>
            <w:tcW w:w="1213" w:type="dxa"/>
            <w:noWrap w:val="0"/>
            <w:vAlign w:val="center"/>
          </w:tcPr>
          <w:p>
            <w:pPr>
              <w:spacing w:line="360" w:lineRule="exact"/>
              <w:jc w:val="center"/>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数量</w:t>
            </w:r>
          </w:p>
        </w:tc>
        <w:tc>
          <w:tcPr>
            <w:tcW w:w="2275" w:type="dxa"/>
            <w:noWrap w:val="0"/>
            <w:vAlign w:val="center"/>
          </w:tcPr>
          <w:p>
            <w:pPr>
              <w:spacing w:line="360" w:lineRule="exact"/>
              <w:jc w:val="center"/>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预算金额（万元）</w:t>
            </w:r>
          </w:p>
        </w:tc>
        <w:tc>
          <w:tcPr>
            <w:tcW w:w="1031" w:type="dxa"/>
            <w:noWrap w:val="0"/>
            <w:vAlign w:val="center"/>
          </w:tcPr>
          <w:p>
            <w:pPr>
              <w:spacing w:line="360" w:lineRule="exact"/>
              <w:jc w:val="center"/>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70" w:type="dxa"/>
            <w:noWrap w:val="0"/>
            <w:vAlign w:val="center"/>
          </w:tcPr>
          <w:p>
            <w:pPr>
              <w:widowControl/>
              <w:spacing w:line="360" w:lineRule="exact"/>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3748" w:type="dxa"/>
            <w:noWrap w:val="0"/>
            <w:vAlign w:val="center"/>
          </w:tcPr>
          <w:p>
            <w:pPr>
              <w:widowControl/>
              <w:spacing w:line="360" w:lineRule="exact"/>
              <w:jc w:val="center"/>
              <w:rPr>
                <w:rFonts w:hint="eastAsia" w:ascii="宋体" w:hAnsi="宋体" w:cs="宋体"/>
                <w:kern w:val="0"/>
                <w:sz w:val="22"/>
                <w:szCs w:val="22"/>
                <w:highlight w:val="none"/>
              </w:rPr>
            </w:pPr>
            <w:r>
              <w:rPr>
                <w:rFonts w:hint="eastAsia" w:ascii="宋体" w:hAnsi="宋体" w:cs="宋体"/>
                <w:kern w:val="0"/>
                <w:sz w:val="22"/>
                <w:szCs w:val="22"/>
                <w:highlight w:val="none"/>
              </w:rPr>
              <w:t>图书馆智能门禁闸机系统管理</w:t>
            </w:r>
          </w:p>
        </w:tc>
        <w:tc>
          <w:tcPr>
            <w:tcW w:w="1213" w:type="dxa"/>
            <w:noWrap w:val="0"/>
            <w:vAlign w:val="center"/>
          </w:tcPr>
          <w:p>
            <w:pPr>
              <w:spacing w:line="370" w:lineRule="exact"/>
              <w:jc w:val="center"/>
              <w:rPr>
                <w:rFonts w:hint="eastAsia" w:ascii="宋体" w:hAnsi="宋体" w:cs="宋体"/>
                <w:kern w:val="0"/>
                <w:sz w:val="22"/>
                <w:szCs w:val="22"/>
                <w:highlight w:val="none"/>
              </w:rPr>
            </w:pPr>
            <w:r>
              <w:rPr>
                <w:rFonts w:hint="eastAsia" w:ascii="宋体" w:hAnsi="宋体" w:cs="宋体"/>
                <w:sz w:val="22"/>
                <w:szCs w:val="22"/>
                <w:highlight w:val="none"/>
              </w:rPr>
              <w:t>1套</w:t>
            </w:r>
          </w:p>
        </w:tc>
        <w:tc>
          <w:tcPr>
            <w:tcW w:w="2275" w:type="dxa"/>
            <w:noWrap w:val="0"/>
            <w:vAlign w:val="center"/>
          </w:tcPr>
          <w:p>
            <w:pPr>
              <w:spacing w:line="370" w:lineRule="exact"/>
              <w:jc w:val="center"/>
              <w:rPr>
                <w:rFonts w:hint="eastAsia" w:ascii="宋体" w:hAnsi="宋体" w:cs="宋体"/>
                <w:spacing w:val="-6"/>
                <w:sz w:val="22"/>
                <w:szCs w:val="22"/>
                <w:highlight w:val="none"/>
              </w:rPr>
            </w:pPr>
            <w:r>
              <w:rPr>
                <w:rFonts w:hint="eastAsia" w:ascii="宋体" w:hAnsi="宋体" w:cs="宋体"/>
                <w:sz w:val="22"/>
                <w:szCs w:val="22"/>
                <w:highlight w:val="none"/>
              </w:rPr>
              <w:t>23</w:t>
            </w:r>
          </w:p>
        </w:tc>
        <w:tc>
          <w:tcPr>
            <w:tcW w:w="1031" w:type="dxa"/>
            <w:noWrap w:val="0"/>
            <w:vAlign w:val="center"/>
          </w:tcPr>
          <w:p>
            <w:pPr>
              <w:spacing w:line="360" w:lineRule="exact"/>
              <w:jc w:val="center"/>
              <w:rPr>
                <w:rFonts w:hint="eastAsia" w:ascii="宋体" w:hAnsi="宋体" w:cs="宋体"/>
                <w:sz w:val="22"/>
                <w:szCs w:val="22"/>
                <w:highlight w:val="none"/>
              </w:rPr>
            </w:pPr>
          </w:p>
        </w:tc>
      </w:tr>
    </w:tbl>
    <w:p>
      <w:pPr>
        <w:snapToGrid w:val="0"/>
        <w:spacing w:line="360" w:lineRule="exact"/>
        <w:outlineLvl w:val="0"/>
        <w:rPr>
          <w:rFonts w:hint="eastAsia" w:ascii="宋体" w:hAnsi="宋体" w:cs="宋体"/>
          <w:b/>
          <w:spacing w:val="-6"/>
          <w:sz w:val="22"/>
          <w:szCs w:val="22"/>
          <w:highlight w:val="none"/>
        </w:rPr>
      </w:pPr>
      <w:r>
        <w:rPr>
          <w:rFonts w:hint="eastAsia" w:ascii="宋体" w:hAnsi="宋体" w:cs="宋体"/>
          <w:b/>
          <w:bCs/>
          <w:spacing w:val="-6"/>
          <w:sz w:val="22"/>
          <w:szCs w:val="22"/>
          <w:highlight w:val="none"/>
        </w:rPr>
        <w:t>二、</w:t>
      </w:r>
      <w:r>
        <w:rPr>
          <w:rFonts w:hint="eastAsia" w:ascii="宋体" w:hAnsi="宋体" w:cs="宋体"/>
          <w:b/>
          <w:spacing w:val="-6"/>
          <w:sz w:val="22"/>
          <w:szCs w:val="22"/>
          <w:highlight w:val="none"/>
        </w:rPr>
        <w:t>商务要求（技术要求里另有注明的以技术要求为准）</w:t>
      </w:r>
    </w:p>
    <w:tbl>
      <w:tblPr>
        <w:tblStyle w:val="3"/>
        <w:tblW w:w="927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70"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sz w:val="22"/>
                <w:szCs w:val="22"/>
                <w:highlight w:val="none"/>
              </w:rPr>
            </w:pPr>
            <w:r>
              <w:rPr>
                <w:rFonts w:hint="eastAsia" w:ascii="宋体" w:hAnsi="宋体" w:cs="宋体"/>
                <w:sz w:val="22"/>
                <w:szCs w:val="22"/>
                <w:highlight w:val="none"/>
              </w:rPr>
              <w:t>付款条件</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 w:val="22"/>
                <w:szCs w:val="22"/>
                <w:highlight w:val="none"/>
                <w:u w:val="single"/>
              </w:rPr>
            </w:pPr>
            <w:r>
              <w:rPr>
                <w:rFonts w:hint="eastAsia" w:ascii="宋体" w:hAnsi="宋体" w:cs="宋体"/>
                <w:sz w:val="22"/>
                <w:szCs w:val="22"/>
                <w:highlight w:val="none"/>
                <w:u w:val="single"/>
              </w:rPr>
              <w:t>▲合同签订后卖方向买方支付合同价款的5%作为履约保证金；卖方完成全部供货及安装、调试、培训并通过买方验收，买方入库报销后15个工作日内，买方向卖方支付100%合同价款（卖方必须先开具合同金额100%的正式增值税专用发票）；履约保证金自验收合格之日起自动转为质量保证金，一年后无质量问题，资产管理处收到使用部门填写的质保期满验收单后7个工作日内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sz w:val="22"/>
                <w:szCs w:val="22"/>
                <w:highlight w:val="none"/>
              </w:rPr>
            </w:pPr>
            <w:r>
              <w:rPr>
                <w:rFonts w:hint="eastAsia" w:ascii="宋体" w:hAnsi="宋体" w:cs="宋体"/>
                <w:sz w:val="22"/>
                <w:szCs w:val="22"/>
                <w:highlight w:val="none"/>
              </w:rPr>
              <w:t>质保期</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验收合格后至少三年。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sz w:val="22"/>
                <w:szCs w:val="22"/>
                <w:highlight w:val="none"/>
              </w:rPr>
            </w:pPr>
            <w:r>
              <w:rPr>
                <w:rFonts w:hint="eastAsia" w:ascii="宋体" w:hAnsi="宋体" w:cs="宋体"/>
                <w:sz w:val="22"/>
                <w:szCs w:val="22"/>
                <w:highlight w:val="none"/>
              </w:rPr>
              <w:t>交付时间</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合同签订后35日历日内交货验收。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sz w:val="22"/>
                <w:szCs w:val="22"/>
                <w:highlight w:val="none"/>
              </w:rPr>
            </w:pPr>
            <w:r>
              <w:rPr>
                <w:rFonts w:hint="eastAsia" w:ascii="宋体" w:hAnsi="宋体" w:cs="宋体"/>
                <w:sz w:val="22"/>
                <w:szCs w:val="22"/>
                <w:highlight w:val="none"/>
              </w:rPr>
              <w:t>交付地点</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温州职业技术学院指定地点。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sz w:val="22"/>
                <w:szCs w:val="22"/>
                <w:highlight w:val="none"/>
              </w:rPr>
            </w:pPr>
            <w:r>
              <w:rPr>
                <w:rFonts w:hint="eastAsia" w:ascii="宋体" w:hAnsi="宋体" w:cs="宋体"/>
                <w:sz w:val="22"/>
                <w:szCs w:val="22"/>
                <w:highlight w:val="none"/>
              </w:rPr>
              <w:t>售后服务</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质保期内要求 7*24小时售后服务保障。报修后立即响应，24小时内售后服务人员须到达用户现场提供免费上门维护、技术咨询及备品备件服务，现场2小时内解决故障；如现场未能解决的设备问题需返厂维修，</w:t>
            </w:r>
            <w:r>
              <w:rPr>
                <w:rFonts w:hint="eastAsia" w:ascii="宋体" w:hAnsi="宋体" w:cs="宋体"/>
                <w:sz w:val="22"/>
                <w:szCs w:val="22"/>
                <w:highlight w:val="none"/>
                <w:lang w:eastAsia="zh-CN"/>
              </w:rPr>
              <w:t>供应商</w:t>
            </w:r>
            <w:r>
              <w:rPr>
                <w:rFonts w:hint="eastAsia" w:ascii="宋体" w:hAnsi="宋体" w:cs="宋体"/>
                <w:sz w:val="22"/>
                <w:szCs w:val="22"/>
                <w:highlight w:val="none"/>
              </w:rPr>
              <w:t>须免费为用户提供备用机，并在72小时之内安装到位，调试成功。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sz w:val="22"/>
                <w:szCs w:val="22"/>
                <w:highlight w:val="none"/>
              </w:rPr>
            </w:pPr>
            <w:r>
              <w:rPr>
                <w:rFonts w:hint="eastAsia" w:ascii="宋体" w:hAnsi="宋体" w:cs="宋体"/>
                <w:sz w:val="22"/>
                <w:szCs w:val="22"/>
                <w:highlight w:val="none"/>
              </w:rPr>
              <w:t>安装调试及培训</w:t>
            </w:r>
          </w:p>
          <w:p>
            <w:pPr>
              <w:spacing w:line="360" w:lineRule="exact"/>
              <w:jc w:val="center"/>
              <w:rPr>
                <w:rFonts w:hint="eastAsia" w:ascii="宋体" w:hAnsi="宋体" w:cs="宋体"/>
                <w:sz w:val="22"/>
                <w:szCs w:val="22"/>
                <w:highlight w:val="none"/>
              </w:rPr>
            </w:pP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项目涉及所有软硬件须免费安装调试，为保证项目施工质量及运行的稳定性，</w:t>
            </w:r>
            <w:r>
              <w:rPr>
                <w:rFonts w:hint="eastAsia" w:ascii="宋体" w:hAnsi="宋体" w:cs="宋体"/>
                <w:sz w:val="22"/>
                <w:szCs w:val="22"/>
                <w:highlight w:val="none"/>
                <w:lang w:eastAsia="zh-CN"/>
              </w:rPr>
              <w:t>供应商</w:t>
            </w:r>
            <w:r>
              <w:rPr>
                <w:rFonts w:hint="eastAsia" w:ascii="宋体" w:hAnsi="宋体" w:cs="宋体"/>
                <w:sz w:val="22"/>
                <w:szCs w:val="22"/>
                <w:highlight w:val="none"/>
              </w:rPr>
              <w:t>须配备不少于 1 名系统集成项目经理，负责整体项目施工监察；在系统安装调试完毕后，</w:t>
            </w:r>
            <w:r>
              <w:rPr>
                <w:rFonts w:hint="eastAsia" w:ascii="宋体" w:hAnsi="宋体" w:cs="宋体"/>
                <w:sz w:val="22"/>
                <w:szCs w:val="22"/>
                <w:highlight w:val="none"/>
                <w:lang w:eastAsia="zh-CN"/>
              </w:rPr>
              <w:t>供应商</w:t>
            </w:r>
            <w:r>
              <w:rPr>
                <w:rFonts w:hint="eastAsia" w:ascii="宋体" w:hAnsi="宋体" w:cs="宋体"/>
                <w:sz w:val="22"/>
                <w:szCs w:val="22"/>
                <w:highlight w:val="none"/>
              </w:rPr>
              <w:t>须提供 3 次以上技术培训，负责培训 1-2名能对设备正常使用和维护的操作管理人员。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4"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exact"/>
              <w:jc w:val="center"/>
              <w:rPr>
                <w:rFonts w:hint="eastAsia" w:ascii="宋体" w:hAnsi="宋体" w:cs="宋体"/>
                <w:sz w:val="22"/>
                <w:szCs w:val="22"/>
                <w:highlight w:val="none"/>
              </w:rPr>
            </w:pPr>
            <w:r>
              <w:rPr>
                <w:rFonts w:hint="eastAsia" w:ascii="宋体" w:hAnsi="宋体" w:cs="宋体"/>
                <w:sz w:val="22"/>
                <w:szCs w:val="22"/>
                <w:highlight w:val="none"/>
              </w:rPr>
              <w:t>验收标准</w:t>
            </w:r>
          </w:p>
        </w:tc>
        <w:tc>
          <w:tcPr>
            <w:tcW w:w="80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1、所供设备在现场进行到货验收时，卖方需派员参加并与买方一起开箱检验，按供货清单验收，若有缺少或损坏，卖方应立即补足或更换全新同规格产品，并承担相关费用直至使买方满意为止。设备的存放点由买方负责提供（费用由卖方承担），但卖方应预先提出设备的保管存放要求。</w:t>
            </w:r>
          </w:p>
          <w:p>
            <w:pPr>
              <w:snapToGrid w:val="0"/>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2、安装范围包括设备本身及软件系统的安装，安装需符合有关标准和规范。安装过程中采购人将对安装质量进行监督。</w:t>
            </w:r>
          </w:p>
          <w:p>
            <w:pPr>
              <w:snapToGrid w:val="0"/>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3、安装完毕后，卖方应派遣有经验的工程技术人员与买方一起进行设备的调试及试运行，买方可以要求卖方或具有检测资质的第三方用专用仪器进行性能测试，卖方负责测试和调试所需的人员、工具、材料、仪器及一切费用，并填写测试报告交由采购人存档。如需买方派有关人员配合，卖方在设备安装调试前三天提出需配合工作的人员、数量等计划书交与买方，以便买方提前作好准备，确保整个项目顺利进行。卖方需在安装结束前将测试和调试方法交与买方，并经其同意后方可执行。</w:t>
            </w:r>
          </w:p>
          <w:p>
            <w:pPr>
              <w:snapToGrid w:val="0"/>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4、设备经过试运行后达到并符合合同要求，其中故障和隐患均已排除或解决，并使买方满意，所有的技术资料和图纸均已向买方提交并被接受，验收视为合格，双方签署验收证书后，设备才视为接受。若因卖方产品质量或安装技术问题导致验收不合格，卖方应及时予以处理，直至验收合格，期间发生的一切相关费用由卖方承担，买方保留向卖方索赔的权利。</w:t>
            </w:r>
          </w:p>
          <w:p>
            <w:pPr>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5、卖方在设备到货、安装、调试和验收期间应采取严格的安全措施，承担由于自身原因所造成的事故责任及其发生的一切费用。</w:t>
            </w:r>
          </w:p>
        </w:tc>
      </w:tr>
    </w:tbl>
    <w:p>
      <w:pPr>
        <w:numPr>
          <w:ilvl w:val="0"/>
          <w:numId w:val="0"/>
        </w:numPr>
        <w:snapToGrid w:val="0"/>
        <w:spacing w:line="360" w:lineRule="exact"/>
        <w:rPr>
          <w:rFonts w:hint="eastAsia" w:ascii="宋体" w:hAnsi="宋体" w:cs="宋体"/>
          <w:b/>
          <w:bCs/>
          <w:spacing w:val="-6"/>
          <w:sz w:val="22"/>
          <w:szCs w:val="22"/>
          <w:highlight w:val="none"/>
        </w:rPr>
      </w:pPr>
      <w:r>
        <w:rPr>
          <w:rFonts w:hint="eastAsia" w:ascii="宋体" w:hAnsi="宋体" w:cs="宋体"/>
          <w:b/>
          <w:bCs/>
          <w:spacing w:val="-6"/>
          <w:sz w:val="22"/>
          <w:szCs w:val="22"/>
          <w:highlight w:val="none"/>
          <w:lang w:eastAsia="zh-CN"/>
        </w:rPr>
        <w:t>三、</w:t>
      </w:r>
      <w:r>
        <w:rPr>
          <w:rFonts w:hint="eastAsia" w:ascii="宋体" w:hAnsi="宋体" w:cs="宋体"/>
          <w:b/>
          <w:bCs/>
          <w:spacing w:val="-6"/>
          <w:sz w:val="22"/>
          <w:szCs w:val="22"/>
          <w:highlight w:val="none"/>
        </w:rPr>
        <w:t>技术要求</w:t>
      </w:r>
    </w:p>
    <w:p>
      <w:pPr>
        <w:spacing w:line="4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为切实维护图书馆的安静看书、学习写作环境，针对图书馆进出口处设置门禁系统，该系统包含人员出入控制、实时监控、保安防盗报警等多种功能，对师生身份核验和进出进行有效的管理，方便师生及内部员工出入，杜绝外来人员随意进出，该系统技术要求如下：</w:t>
      </w:r>
    </w:p>
    <w:p>
      <w:pPr>
        <w:spacing w:line="400" w:lineRule="exact"/>
        <w:rPr>
          <w:rFonts w:hint="eastAsia" w:ascii="宋体" w:hAnsi="宋体" w:cs="宋体"/>
          <w:sz w:val="22"/>
          <w:szCs w:val="22"/>
          <w:highlight w:val="none"/>
        </w:rPr>
      </w:pPr>
      <w:r>
        <w:rPr>
          <w:rFonts w:hint="eastAsia" w:ascii="宋体" w:hAnsi="宋体" w:cs="宋体"/>
          <w:sz w:val="22"/>
          <w:szCs w:val="22"/>
          <w:highlight w:val="none"/>
        </w:rPr>
        <w:t xml:space="preserve">  （一）门禁管理系统（双向四通道）</w:t>
      </w:r>
    </w:p>
    <w:p>
      <w:pPr>
        <w:numPr>
          <w:ilvl w:val="0"/>
          <w:numId w:val="1"/>
        </w:numPr>
        <w:spacing w:line="400" w:lineRule="exact"/>
        <w:ind w:left="0"/>
        <w:rPr>
          <w:rFonts w:hint="eastAsia" w:ascii="宋体" w:hAnsi="宋体" w:cs="宋体"/>
          <w:sz w:val="22"/>
          <w:szCs w:val="22"/>
          <w:highlight w:val="none"/>
        </w:rPr>
      </w:pPr>
      <w:r>
        <w:rPr>
          <w:rFonts w:hint="eastAsia" w:ascii="宋体" w:hAnsi="宋体" w:cs="宋体"/>
          <w:b/>
          <w:sz w:val="22"/>
          <w:szCs w:val="22"/>
          <w:highlight w:val="none"/>
          <w:u w:val="single"/>
        </w:rPr>
        <w:t>▲</w:t>
      </w:r>
      <w:r>
        <w:rPr>
          <w:rFonts w:hint="eastAsia" w:ascii="宋体" w:hAnsi="宋体" w:cs="宋体"/>
          <w:sz w:val="22"/>
          <w:szCs w:val="22"/>
          <w:highlight w:val="none"/>
          <w:u w:val="single"/>
        </w:rPr>
        <w:t>采用翼闸式（剪刀式）门禁闸机。采用双向刷卡模式，与图书防盗监测仪配套使用。闸机主板采用低功耗、不发热、不死机的嵌入式工业(单板)控制器（主板工作温度范围-20℃～80℃）。闸机电机须采用性能优越的伺服控制电机。闸机主体材料采用优质不锈钢结构，扇门板采用高档亚克力材料制作，不得采用易老化、开裂的橡胶材质。</w:t>
      </w:r>
    </w:p>
    <w:p>
      <w:pPr>
        <w:numPr>
          <w:ilvl w:val="0"/>
          <w:numId w:val="1"/>
        </w:numPr>
        <w:spacing w:line="400" w:lineRule="exact"/>
        <w:ind w:left="0"/>
        <w:rPr>
          <w:rFonts w:hint="eastAsia" w:ascii="宋体" w:hAnsi="宋体" w:cs="宋体"/>
          <w:sz w:val="22"/>
          <w:szCs w:val="22"/>
          <w:highlight w:val="none"/>
        </w:rPr>
      </w:pPr>
      <w:r>
        <w:rPr>
          <w:rFonts w:hint="eastAsia" w:ascii="宋体" w:hAnsi="宋体" w:cs="宋体"/>
          <w:sz w:val="22"/>
          <w:szCs w:val="22"/>
          <w:highlight w:val="none"/>
        </w:rPr>
        <w:t>身份认证：采用双重认证机制，同时通过校园一卡通和图书馆管理系统数据库的认证。读者持证件在闸机上刷卡或刷脸验证有效后，闸机开门放行同时将进出馆记录存放于门禁系统数据库中。无证件及持无效证件者禁止入馆，显示屏显示“非本馆读者”、“过期卡”、“挂失卡”、“重复刷卡”等信息及声光告警提示。</w:t>
      </w:r>
    </w:p>
    <w:p>
      <w:pPr>
        <w:numPr>
          <w:ilvl w:val="0"/>
          <w:numId w:val="1"/>
        </w:numPr>
        <w:spacing w:line="400" w:lineRule="exact"/>
        <w:ind w:left="0"/>
        <w:rPr>
          <w:rFonts w:hint="eastAsia" w:ascii="宋体" w:hAnsi="宋体" w:cs="宋体"/>
          <w:sz w:val="22"/>
          <w:szCs w:val="22"/>
          <w:highlight w:val="none"/>
        </w:rPr>
      </w:pPr>
      <w:r>
        <w:rPr>
          <w:rFonts w:hint="eastAsia" w:ascii="宋体" w:hAnsi="宋体" w:cs="宋体"/>
          <w:b/>
          <w:sz w:val="22"/>
          <w:szCs w:val="22"/>
          <w:highlight w:val="none"/>
          <w:u w:val="single"/>
        </w:rPr>
        <w:t>▲</w:t>
      </w:r>
      <w:r>
        <w:rPr>
          <w:rFonts w:hint="eastAsia" w:ascii="宋体" w:hAnsi="宋体" w:cs="宋体"/>
          <w:bCs/>
          <w:sz w:val="22"/>
          <w:szCs w:val="22"/>
          <w:highlight w:val="none"/>
          <w:u w:val="single"/>
        </w:rPr>
        <w:t>门禁系统必须与校园一卡通及图书馆信息管理系统实现无缝连接，与已有的图书馆门禁系统必须整合为统一的管理平台，投标报价须含以上项目的对接、整合费用。</w:t>
      </w:r>
    </w:p>
    <w:p>
      <w:pPr>
        <w:numPr>
          <w:ilvl w:val="0"/>
          <w:numId w:val="1"/>
        </w:numPr>
        <w:spacing w:line="400" w:lineRule="exact"/>
        <w:ind w:left="0"/>
        <w:rPr>
          <w:rFonts w:hint="eastAsia" w:ascii="宋体" w:hAnsi="宋体" w:cs="宋体"/>
          <w:sz w:val="22"/>
          <w:szCs w:val="22"/>
          <w:highlight w:val="none"/>
        </w:rPr>
      </w:pPr>
      <w:r>
        <w:rPr>
          <w:rFonts w:hint="eastAsia" w:ascii="宋体" w:hAnsi="宋体" w:cs="宋体"/>
          <w:sz w:val="22"/>
          <w:szCs w:val="22"/>
          <w:highlight w:val="none"/>
        </w:rPr>
        <w:t>参数设置：主要包括验卡后有效通过时间、同一张卡重复验卡时间、扇门关闭时间等，参数范围可以根据用户实际情况设置。</w:t>
      </w:r>
    </w:p>
    <w:p>
      <w:pPr>
        <w:numPr>
          <w:ilvl w:val="0"/>
          <w:numId w:val="1"/>
        </w:numPr>
        <w:spacing w:line="400" w:lineRule="exact"/>
        <w:ind w:left="0"/>
        <w:rPr>
          <w:rFonts w:hint="eastAsia" w:ascii="宋体" w:hAnsi="宋体" w:cs="宋体"/>
          <w:sz w:val="22"/>
          <w:szCs w:val="22"/>
          <w:highlight w:val="none"/>
        </w:rPr>
      </w:pPr>
      <w:r>
        <w:rPr>
          <w:rFonts w:hint="eastAsia" w:ascii="宋体" w:hAnsi="宋体" w:cs="宋体"/>
          <w:sz w:val="22"/>
          <w:szCs w:val="22"/>
          <w:highlight w:val="none"/>
        </w:rPr>
        <w:t>通信协议采用TCP/IP、监控软件采用B/S多层架构。通信速率≥100M，易于扩容、升级。</w:t>
      </w:r>
    </w:p>
    <w:p>
      <w:pPr>
        <w:numPr>
          <w:ilvl w:val="0"/>
          <w:numId w:val="1"/>
        </w:numPr>
        <w:spacing w:line="400" w:lineRule="exact"/>
        <w:ind w:left="0"/>
        <w:rPr>
          <w:rFonts w:hint="eastAsia" w:ascii="宋体" w:hAnsi="宋体" w:cs="宋体"/>
          <w:sz w:val="22"/>
          <w:szCs w:val="22"/>
          <w:highlight w:val="none"/>
        </w:rPr>
      </w:pPr>
      <w:r>
        <w:rPr>
          <w:rFonts w:hint="eastAsia" w:ascii="宋体" w:hAnsi="宋体" w:cs="宋体"/>
          <w:sz w:val="22"/>
          <w:szCs w:val="22"/>
          <w:highlight w:val="none"/>
        </w:rPr>
        <w:t>信息管理：对门禁数据统计须方便快捷，自带客户端IE浏览器、统计分析软件（B/S架构）；统计结果以WEB方式发布；统计软件能够实时采集数据，产生详细进馆记录；与图书馆局域网连接，记录每次通行信息且可按照读者类别、部门、姓名、班级、通行日期、时间等各种属性形成统计报表和统计图；可以在任何一台联网的计算机上用浏览器查看相关信息，并提供数据导出功能。</w:t>
      </w:r>
    </w:p>
    <w:p>
      <w:pPr>
        <w:numPr>
          <w:ilvl w:val="0"/>
          <w:numId w:val="1"/>
        </w:numPr>
        <w:spacing w:line="400" w:lineRule="exact"/>
        <w:ind w:left="0"/>
        <w:rPr>
          <w:rFonts w:hint="eastAsia" w:ascii="宋体" w:hAnsi="宋体" w:cs="宋体"/>
          <w:sz w:val="22"/>
          <w:szCs w:val="22"/>
          <w:highlight w:val="none"/>
        </w:rPr>
      </w:pPr>
      <w:r>
        <w:rPr>
          <w:rFonts w:hint="eastAsia" w:ascii="宋体" w:hAnsi="宋体" w:cs="宋体"/>
          <w:sz w:val="22"/>
          <w:szCs w:val="22"/>
          <w:highlight w:val="none"/>
        </w:rPr>
        <w:t>使用校园一卡通刷卡时通过率≥60人/分钟，采用优质传感器，传感器响应时间要求≤0.1秒，验卡速度≤0.15秒，扇门响应时间≤0.3秒。</w:t>
      </w:r>
    </w:p>
    <w:p>
      <w:pPr>
        <w:numPr>
          <w:ilvl w:val="0"/>
          <w:numId w:val="1"/>
        </w:numPr>
        <w:spacing w:line="400" w:lineRule="exact"/>
        <w:ind w:left="0"/>
        <w:rPr>
          <w:rFonts w:hint="eastAsia" w:ascii="宋体" w:hAnsi="宋体" w:cs="宋体"/>
          <w:sz w:val="22"/>
          <w:szCs w:val="22"/>
          <w:highlight w:val="none"/>
        </w:rPr>
      </w:pPr>
      <w:r>
        <w:rPr>
          <w:rFonts w:hint="eastAsia" w:ascii="宋体" w:hAnsi="宋体" w:cs="宋体"/>
          <w:sz w:val="22"/>
          <w:szCs w:val="22"/>
          <w:highlight w:val="none"/>
        </w:rPr>
        <w:t>闸机大小：长度900-1000毫米、宽度≤300毫米、高度≤1000毫米，双向对称，双向刷卡。</w:t>
      </w:r>
    </w:p>
    <w:p>
      <w:pPr>
        <w:numPr>
          <w:ilvl w:val="0"/>
          <w:numId w:val="1"/>
        </w:numPr>
        <w:spacing w:line="400" w:lineRule="exact"/>
        <w:ind w:left="0"/>
        <w:rPr>
          <w:rFonts w:hint="eastAsia" w:ascii="宋体" w:hAnsi="宋体" w:cs="宋体"/>
          <w:sz w:val="22"/>
          <w:szCs w:val="22"/>
          <w:highlight w:val="none"/>
        </w:rPr>
      </w:pPr>
      <w:r>
        <w:rPr>
          <w:rFonts w:hint="eastAsia" w:ascii="宋体" w:hAnsi="宋体" w:cs="宋体"/>
          <w:sz w:val="22"/>
          <w:szCs w:val="22"/>
          <w:highlight w:val="none"/>
        </w:rPr>
        <w:t>工作环境：温度 -10~60℃，湿度范围 5%~95%RH；工作电源：220V（AV）±10%；50Hz±4%;闸机耗电：静态：≤100W，动态：≤160W；</w:t>
      </w:r>
    </w:p>
    <w:p>
      <w:pPr>
        <w:numPr>
          <w:ilvl w:val="0"/>
          <w:numId w:val="1"/>
        </w:numPr>
        <w:spacing w:line="400" w:lineRule="exact"/>
        <w:ind w:left="0"/>
        <w:rPr>
          <w:rFonts w:hint="eastAsia" w:ascii="宋体" w:hAnsi="宋体" w:cs="宋体"/>
          <w:sz w:val="22"/>
          <w:szCs w:val="22"/>
          <w:highlight w:val="none"/>
        </w:rPr>
      </w:pPr>
      <w:r>
        <w:rPr>
          <w:rFonts w:hint="eastAsia" w:ascii="宋体" w:hAnsi="宋体" w:cs="宋体"/>
          <w:sz w:val="22"/>
          <w:szCs w:val="22"/>
          <w:highlight w:val="none"/>
        </w:rPr>
        <w:t>工作噪音：≤50分贝。</w:t>
      </w:r>
    </w:p>
    <w:p>
      <w:pPr>
        <w:numPr>
          <w:ilvl w:val="0"/>
          <w:numId w:val="1"/>
        </w:numPr>
        <w:spacing w:line="400" w:lineRule="exact"/>
        <w:ind w:left="0"/>
        <w:rPr>
          <w:rFonts w:hint="eastAsia" w:ascii="宋体" w:hAnsi="宋体" w:cs="宋体"/>
          <w:sz w:val="22"/>
          <w:szCs w:val="22"/>
          <w:highlight w:val="none"/>
        </w:rPr>
      </w:pPr>
      <w:r>
        <w:rPr>
          <w:rFonts w:hint="eastAsia" w:ascii="宋体" w:hAnsi="宋体" w:cs="宋体"/>
          <w:sz w:val="22"/>
          <w:szCs w:val="22"/>
          <w:highlight w:val="none"/>
        </w:rPr>
        <w:t>所投产品不得有侵犯任何第三方知识产权等侵权行为。</w:t>
      </w:r>
    </w:p>
    <w:p>
      <w:pPr>
        <w:numPr>
          <w:ilvl w:val="0"/>
          <w:numId w:val="1"/>
        </w:numPr>
        <w:spacing w:line="400" w:lineRule="exact"/>
        <w:ind w:left="0"/>
        <w:rPr>
          <w:rFonts w:hint="eastAsia" w:ascii="宋体" w:hAnsi="宋体" w:cs="宋体"/>
          <w:sz w:val="22"/>
          <w:szCs w:val="22"/>
          <w:highlight w:val="none"/>
        </w:rPr>
      </w:pPr>
      <w:r>
        <w:rPr>
          <w:rFonts w:hint="eastAsia" w:ascii="宋体" w:hAnsi="宋体" w:cs="宋体"/>
          <w:sz w:val="22"/>
          <w:szCs w:val="22"/>
          <w:highlight w:val="none"/>
        </w:rPr>
        <w:t>供应商须自行解决与图书馆信息管理系统、一卡通系统、学院第三方人脸识别系统的接入，保证所提供门禁能到馆安装后实施无缝对接，正常使用。</w:t>
      </w:r>
    </w:p>
    <w:p>
      <w:pPr>
        <w:numPr>
          <w:ilvl w:val="0"/>
          <w:numId w:val="1"/>
        </w:numPr>
        <w:spacing w:line="400" w:lineRule="exact"/>
        <w:ind w:left="0"/>
        <w:rPr>
          <w:rFonts w:hint="eastAsia" w:ascii="宋体" w:hAnsi="宋体" w:cs="宋体"/>
          <w:sz w:val="22"/>
          <w:szCs w:val="22"/>
          <w:highlight w:val="none"/>
        </w:rPr>
      </w:pPr>
      <w:r>
        <w:rPr>
          <w:rFonts w:hint="eastAsia" w:ascii="宋体" w:hAnsi="宋体" w:cs="宋体"/>
          <w:sz w:val="22"/>
          <w:szCs w:val="22"/>
          <w:highlight w:val="none"/>
        </w:rPr>
        <w:t>门禁通道要与图书防盗仪做联动模式，门禁通道与图书防盗仪竖排摆放，读者先走图书防盗仪，如防盗仪不报警读者可刷卡从门禁通道正常通行，如果读者有未消磁的书本则出防盗仪时防盗仪报警，防盗仪将报警信号输出对应门禁通道,收到报警信号后对应的门禁通道刷不了卡，该读者退出通道则报警取消，通道正常运行。</w:t>
      </w:r>
    </w:p>
    <w:p>
      <w:pPr>
        <w:numPr>
          <w:ilvl w:val="0"/>
          <w:numId w:val="1"/>
        </w:numPr>
        <w:spacing w:line="400" w:lineRule="exact"/>
        <w:ind w:left="0"/>
        <w:rPr>
          <w:rFonts w:hint="eastAsia" w:ascii="宋体" w:hAnsi="宋体" w:cs="宋体"/>
          <w:sz w:val="22"/>
          <w:szCs w:val="22"/>
          <w:highlight w:val="none"/>
        </w:rPr>
      </w:pPr>
      <w:r>
        <w:rPr>
          <w:rFonts w:hint="eastAsia" w:ascii="宋体" w:hAnsi="宋体" w:cs="宋体"/>
          <w:b/>
          <w:sz w:val="22"/>
          <w:szCs w:val="22"/>
          <w:highlight w:val="none"/>
          <w:u w:val="single"/>
        </w:rPr>
        <w:t>▲</w:t>
      </w:r>
      <w:r>
        <w:rPr>
          <w:rFonts w:hint="eastAsia" w:ascii="宋体" w:hAnsi="宋体" w:cs="宋体"/>
          <w:sz w:val="22"/>
          <w:szCs w:val="22"/>
          <w:highlight w:val="none"/>
          <w:u w:val="single"/>
        </w:rPr>
        <w:t>门禁系统数据库必须向采购人开放，提供数据字典，并提供包含类别、部门、姓名、班级、通行日期、时间等字段的读者通行信息视图，以及未能通过人员的相关信息视图。</w:t>
      </w:r>
    </w:p>
    <w:p>
      <w:pPr>
        <w:spacing w:line="400" w:lineRule="exact"/>
        <w:rPr>
          <w:rFonts w:hint="eastAsia" w:ascii="宋体" w:hAnsi="宋体" w:cs="宋体"/>
          <w:sz w:val="22"/>
          <w:szCs w:val="22"/>
          <w:highlight w:val="none"/>
        </w:rPr>
      </w:pPr>
      <w:r>
        <w:rPr>
          <w:rFonts w:hint="eastAsia" w:ascii="宋体" w:hAnsi="宋体" w:cs="宋体"/>
          <w:sz w:val="22"/>
          <w:szCs w:val="22"/>
          <w:highlight w:val="none"/>
        </w:rPr>
        <w:t>（二）人脸识别模块</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sz w:val="22"/>
          <w:szCs w:val="22"/>
          <w:highlight w:val="none"/>
          <w:u w:val="single"/>
        </w:rPr>
      </w:pPr>
      <w:r>
        <w:rPr>
          <w:rFonts w:hint="eastAsia" w:ascii="宋体" w:hAnsi="宋体" w:cs="宋体"/>
          <w:sz w:val="22"/>
          <w:szCs w:val="22"/>
          <w:highlight w:val="none"/>
        </w:rPr>
        <w:t>1.</w:t>
      </w:r>
      <w:r>
        <w:rPr>
          <w:rFonts w:hint="eastAsia" w:ascii="宋体" w:hAnsi="宋体" w:cs="宋体"/>
          <w:spacing w:val="-6"/>
          <w:sz w:val="22"/>
          <w:szCs w:val="22"/>
          <w:highlight w:val="none"/>
        </w:rPr>
        <w:t xml:space="preserve"> </w:t>
      </w:r>
      <w:r>
        <w:rPr>
          <w:rFonts w:hint="eastAsia" w:ascii="宋体" w:hAnsi="宋体" w:cs="宋体"/>
          <w:b/>
          <w:sz w:val="22"/>
          <w:szCs w:val="22"/>
          <w:highlight w:val="none"/>
          <w:u w:val="single"/>
        </w:rPr>
        <w:t>▲</w:t>
      </w:r>
      <w:r>
        <w:rPr>
          <w:rFonts w:hint="eastAsia" w:ascii="宋体" w:hAnsi="宋体" w:cs="宋体"/>
          <w:sz w:val="22"/>
          <w:szCs w:val="22"/>
          <w:highlight w:val="none"/>
          <w:u w:val="single"/>
        </w:rPr>
        <w:t>人脸库容量及算法</w:t>
      </w:r>
      <w:r>
        <w:rPr>
          <w:rFonts w:hint="eastAsia" w:ascii="宋体" w:hAnsi="宋体" w:cs="宋体"/>
          <w:sz w:val="22"/>
          <w:szCs w:val="22"/>
          <w:highlight w:val="none"/>
          <w:u w:val="single"/>
          <w:lang w:eastAsia="zh-CN"/>
        </w:rPr>
        <w:t>：</w:t>
      </w:r>
      <w:r>
        <w:rPr>
          <w:rFonts w:hint="eastAsia" w:ascii="宋体" w:hAnsi="宋体" w:cs="宋体"/>
          <w:sz w:val="22"/>
          <w:szCs w:val="22"/>
          <w:highlight w:val="none"/>
          <w:u w:val="single"/>
        </w:rPr>
        <w:t>系统人脸库容量不小于50000张人脸白名单，支持100000笔记录存储。人脸识别算法须采用成熟可靠算法。</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sz w:val="22"/>
          <w:szCs w:val="22"/>
          <w:highlight w:val="none"/>
        </w:rPr>
      </w:pPr>
      <w:r>
        <w:rPr>
          <w:rFonts w:hint="eastAsia" w:ascii="宋体" w:hAnsi="宋体" w:cs="宋体"/>
          <w:sz w:val="22"/>
          <w:szCs w:val="22"/>
          <w:highlight w:val="none"/>
        </w:rPr>
        <w:t>2.闸机人脸验证模块</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sz w:val="22"/>
          <w:szCs w:val="22"/>
          <w:highlight w:val="none"/>
        </w:rPr>
      </w:pPr>
      <w:r>
        <w:rPr>
          <w:rFonts w:hint="eastAsia" w:ascii="宋体" w:hAnsi="宋体" w:cs="宋体"/>
          <w:sz w:val="22"/>
          <w:szCs w:val="22"/>
          <w:highlight w:val="none"/>
        </w:rPr>
        <w:t>1）人脸识别模块摄像头、显示屏须一体化整体安装在闸机上，采用10.1英寸LCD触摸显示屏；补光灯亮度自动调节；200万像素双目宽动态摄像头；支持照片视频防假。</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sz w:val="22"/>
          <w:szCs w:val="22"/>
          <w:highlight w:val="none"/>
        </w:rPr>
      </w:pPr>
      <w:r>
        <w:rPr>
          <w:rFonts w:hint="eastAsia" w:ascii="宋体" w:hAnsi="宋体" w:cs="宋体"/>
          <w:sz w:val="22"/>
          <w:szCs w:val="22"/>
          <w:highlight w:val="none"/>
        </w:rPr>
        <w:t>2）人脸距离摄像头0.3m-1.5m时即可有效自动抓取。读者只需在闸机入口处看屏幕，摄像头即自动跟踪抓取人脸，不采用被动式抓取方式（读者人脸需要移动到屏幕指定区域内方可抓取）。</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sz w:val="22"/>
          <w:szCs w:val="22"/>
          <w:highlight w:val="none"/>
        </w:rPr>
      </w:pPr>
      <w:r>
        <w:rPr>
          <w:rFonts w:hint="eastAsia" w:ascii="宋体" w:hAnsi="宋体" w:cs="宋体"/>
          <w:sz w:val="22"/>
          <w:szCs w:val="22"/>
          <w:highlight w:val="none"/>
        </w:rPr>
        <w:t>3）人脸识别模块需与校园一卡通系统进行无缝对接，人脸验证成功的读者须再次和校园一卡通对接验证该读者的卡有效期等信息，验证成功后闸机开门放行。</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sz w:val="22"/>
          <w:szCs w:val="22"/>
          <w:highlight w:val="none"/>
        </w:rPr>
      </w:pPr>
      <w:r>
        <w:rPr>
          <w:rFonts w:hint="eastAsia" w:ascii="宋体" w:hAnsi="宋体" w:cs="宋体"/>
          <w:sz w:val="22"/>
          <w:szCs w:val="22"/>
          <w:highlight w:val="none"/>
        </w:rPr>
        <w:t>4）</w:t>
      </w:r>
      <w:r>
        <w:rPr>
          <w:rFonts w:hint="eastAsia" w:ascii="宋体" w:hAnsi="宋体" w:cs="宋体"/>
          <w:b/>
          <w:sz w:val="22"/>
          <w:szCs w:val="22"/>
          <w:highlight w:val="none"/>
          <w:u w:val="single"/>
        </w:rPr>
        <w:t>▲</w:t>
      </w:r>
      <w:r>
        <w:rPr>
          <w:rFonts w:hint="eastAsia" w:ascii="宋体" w:hAnsi="宋体" w:cs="宋体"/>
          <w:sz w:val="22"/>
          <w:szCs w:val="22"/>
          <w:highlight w:val="none"/>
          <w:u w:val="single"/>
        </w:rPr>
        <w:t>人脸识别模块需与门禁系统管理软件进行无缝对接，实现在一段时间内同一人刷脸后，再次刷卡不得进入或者同一人先刷卡，再次刷脸后不得进入。人脸识别入馆记录与校园卡进馆记录一并写入门禁系统统计数据表中，管理员可以也在门禁系统后台数据库中单独查询人脸识别的通行记录。</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sz w:val="22"/>
          <w:szCs w:val="22"/>
          <w:highlight w:val="none"/>
        </w:rPr>
      </w:pPr>
      <w:r>
        <w:rPr>
          <w:rFonts w:hint="eastAsia" w:ascii="宋体" w:hAnsi="宋体" w:cs="宋体"/>
          <w:sz w:val="22"/>
          <w:szCs w:val="22"/>
          <w:highlight w:val="none"/>
        </w:rPr>
        <w:t>5）设备应支持人脸、刷卡+人脸、智能模式等多种认证组合方式，支持人脸识别功能，现场抓拍人脸照片与本地人脸库照片进行比对，进行人员身份核验，1：N人脸比对时间：＜0.5秒。设备应支持本地单机人证比对或人脸比对，支持与第三方平台或设备联网对接实现人脸比对。</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sz w:val="22"/>
          <w:szCs w:val="22"/>
          <w:highlight w:val="none"/>
        </w:rPr>
      </w:pPr>
      <w:r>
        <w:rPr>
          <w:rFonts w:hint="eastAsia" w:ascii="宋体" w:hAnsi="宋体" w:cs="宋体"/>
          <w:sz w:val="22"/>
          <w:szCs w:val="22"/>
          <w:highlight w:val="none"/>
        </w:rPr>
        <w:t>6）通讯方式：采用双网口设计，上行通讯为TCP/IP；支持WIFI传输；支持通过RS485或wiegand外接读卡器，实现刷卡开门。</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sz w:val="22"/>
          <w:szCs w:val="22"/>
          <w:highlight w:val="none"/>
        </w:rPr>
      </w:pPr>
      <w:r>
        <w:rPr>
          <w:rFonts w:hint="eastAsia" w:ascii="宋体" w:hAnsi="宋体" w:cs="宋体"/>
          <w:sz w:val="22"/>
          <w:szCs w:val="22"/>
          <w:highlight w:val="none"/>
        </w:rPr>
        <w:t>7）设备接口：LAN*2，彼此物理隔离；RS485*1；韦根*1；USB *1；喇叭扬声器；门磁*1、开门按钮*1、报警输入*2；电锁*1、报警输出；人脸识别成功后，可将读者卡号输出给门禁闸机。</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b/>
          <w:spacing w:val="-6"/>
          <w:sz w:val="22"/>
          <w:szCs w:val="22"/>
          <w:highlight w:val="none"/>
        </w:rPr>
      </w:pPr>
      <w:r>
        <w:rPr>
          <w:rFonts w:hint="eastAsia" w:ascii="宋体" w:hAnsi="宋体" w:cs="宋体"/>
          <w:sz w:val="22"/>
          <w:szCs w:val="22"/>
          <w:highlight w:val="none"/>
        </w:rPr>
        <w:t>8）使用环境：室内外，IP65；工作温度：-20~65℃；工作电压：DC 12V/3A，从门禁通道取电。</w:t>
      </w:r>
    </w:p>
    <w:p>
      <w:pPr>
        <w:spacing w:line="360" w:lineRule="exact"/>
        <w:rPr>
          <w:rFonts w:hint="eastAsia" w:ascii="宋体" w:hAnsi="宋体" w:cs="宋体"/>
          <w:b/>
          <w:spacing w:val="-6"/>
          <w:sz w:val="22"/>
          <w:szCs w:val="22"/>
          <w:highlight w:val="none"/>
        </w:rPr>
      </w:pPr>
      <w:r>
        <w:rPr>
          <w:rFonts w:hint="eastAsia" w:ascii="宋体" w:hAnsi="宋体" w:cs="宋体"/>
          <w:b/>
          <w:spacing w:val="-6"/>
          <w:sz w:val="22"/>
          <w:szCs w:val="22"/>
          <w:highlight w:val="none"/>
        </w:rPr>
        <w:t>四、备注</w:t>
      </w:r>
    </w:p>
    <w:p>
      <w:pPr>
        <w:spacing w:line="360" w:lineRule="exact"/>
        <w:ind w:firstLine="418" w:firstLineChars="200"/>
        <w:rPr>
          <w:rFonts w:hint="eastAsia" w:ascii="宋体" w:hAnsi="宋体" w:cs="宋体"/>
          <w:b/>
          <w:spacing w:val="-6"/>
          <w:sz w:val="22"/>
          <w:szCs w:val="22"/>
          <w:highlight w:val="none"/>
        </w:rPr>
      </w:pPr>
      <w:r>
        <w:rPr>
          <w:rFonts w:hint="eastAsia" w:ascii="宋体" w:hAnsi="宋体" w:cs="宋体"/>
          <w:b/>
          <w:spacing w:val="-6"/>
          <w:sz w:val="22"/>
          <w:szCs w:val="22"/>
          <w:highlight w:val="none"/>
        </w:rPr>
        <w:t>带“▲且加下划线”的有关技术和商务要求为实质性条款，响应方必须做出实质性响应</w:t>
      </w:r>
      <w:r>
        <w:rPr>
          <w:rFonts w:hint="eastAsia" w:ascii="宋体" w:hAnsi="宋体" w:cs="宋体"/>
          <w:b/>
          <w:bCs/>
          <w:spacing w:val="-6"/>
          <w:sz w:val="22"/>
          <w:szCs w:val="22"/>
          <w:highlight w:val="none"/>
        </w:rPr>
        <w:t>，否则视为无效响应文件。</w:t>
      </w:r>
      <w:r>
        <w:rPr>
          <w:rFonts w:hint="eastAsia" w:ascii="宋体" w:hAnsi="宋体" w:cs="宋体"/>
          <w:b/>
          <w:spacing w:val="-6"/>
          <w:sz w:val="22"/>
          <w:szCs w:val="22"/>
          <w:highlight w:val="none"/>
        </w:rPr>
        <w:t>除此之外其余的指标、服务要求以及合同条款可在磋商现场，根据磋商小组与供应商的磋商进行变动。</w:t>
      </w:r>
    </w:p>
    <w:p>
      <w:pPr>
        <w:spacing w:line="360" w:lineRule="exact"/>
        <w:ind w:firstLine="418" w:firstLineChars="200"/>
        <w:rPr>
          <w:rFonts w:hint="eastAsia" w:ascii="宋体" w:hAnsi="宋体" w:cs="宋体"/>
          <w:b/>
          <w:bCs/>
          <w:kern w:val="0"/>
          <w:sz w:val="22"/>
          <w:szCs w:val="22"/>
          <w:highlight w:val="none"/>
        </w:rPr>
      </w:pPr>
      <w:r>
        <w:rPr>
          <w:rFonts w:hint="eastAsia" w:ascii="宋体" w:hAnsi="宋体" w:cs="宋体"/>
          <w:b/>
          <w:spacing w:val="-6"/>
          <w:sz w:val="22"/>
          <w:szCs w:val="22"/>
          <w:highlight w:val="none"/>
        </w:rPr>
        <w:t>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kern w:val="0"/>
          <w:sz w:val="22"/>
          <w:szCs w:val="22"/>
          <w:highlight w:val="none"/>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B2005"/>
    <w:multiLevelType w:val="singleLevel"/>
    <w:tmpl w:val="1C3B2005"/>
    <w:lvl w:ilvl="0" w:tentative="0">
      <w:start w:val="1"/>
      <w:numFmt w:val="decimal"/>
      <w:suff w:val="nothing"/>
      <w:lvlText w:val="%1．"/>
      <w:lvlJc w:val="left"/>
      <w:pPr>
        <w:ind w:left="26"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963F4"/>
    <w:rsid w:val="2DBF5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lock Text"/>
    <w:basedOn w:val="1"/>
    <w:qFormat/>
    <w:uiPriority w:val="0"/>
    <w:pPr>
      <w:adjustRightInd w:val="0"/>
      <w:spacing w:line="300" w:lineRule="auto"/>
      <w:ind w:left="958" w:rightChars="-120"/>
      <w:jc w:val="left"/>
    </w:pPr>
    <w:rPr>
      <w:rFonts w:ascii="宋体" w:hAnsi="宋体"/>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2019-04-24T01:51:25Z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2052-11.1.0.8642</vt:lpwstr>
  </property>
</Properties>
</file>