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8D1B593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Times New Roman" w:hAnsi="Times New Roman" w:eastAsia="国标小标宋" w:cs="Times New Roman"/>
          <w:color w:val="auto"/>
          <w:kern w:val="0"/>
          <w:sz w:val="44"/>
          <w:szCs w:val="44"/>
          <w:lang w:val="en-US" w:eastAsia="zh-CN"/>
        </w:rPr>
      </w:pPr>
      <w:r>
        <w:rPr>
          <w:rFonts w:hint="eastAsia" w:ascii="黑体" w:hAnsi="黑体" w:eastAsia="黑体" w:cs="黑体"/>
          <w:color w:val="auto"/>
          <w:kern w:val="0"/>
          <w:sz w:val="32"/>
          <w:szCs w:val="32"/>
          <w:lang w:val="en-US" w:eastAsia="zh-CN"/>
        </w:rPr>
        <w:t>附件1</w:t>
      </w:r>
    </w:p>
    <w:p w14:paraId="4EC220C8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Times New Roman" w:hAnsi="Times New Roman" w:eastAsia="国标小标宋" w:cs="Times New Roman"/>
          <w:color w:val="auto"/>
          <w:kern w:val="0"/>
          <w:sz w:val="44"/>
          <w:szCs w:val="44"/>
          <w:lang w:val="en-US" w:eastAsia="zh-CN"/>
        </w:rPr>
      </w:pPr>
      <w:bookmarkStart w:id="0" w:name="_GoBack"/>
    </w:p>
    <w:p w14:paraId="3BBC99FB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Times New Roman" w:hAnsi="Times New Roman" w:eastAsia="国标小标宋" w:cs="Times New Roman"/>
          <w:color w:val="auto"/>
          <w:kern w:val="0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color w:val="auto"/>
          <w:kern w:val="0"/>
          <w:sz w:val="44"/>
          <w:szCs w:val="44"/>
          <w:lang w:val="en-US" w:eastAsia="zh-CN"/>
        </w:rPr>
        <w:t>研究课题参考指南</w:t>
      </w:r>
    </w:p>
    <w:bookmarkEnd w:id="0"/>
    <w:p w14:paraId="0211ACD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黑体" w:hAnsi="黑体" w:eastAsia="黑体" w:cs="黑体"/>
          <w:b/>
          <w:color w:val="000000"/>
          <w:kern w:val="0"/>
          <w:sz w:val="32"/>
          <w:szCs w:val="32"/>
        </w:rPr>
      </w:pPr>
    </w:p>
    <w:p w14:paraId="6FAB471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highlight w:val="none"/>
          <w:lang w:val="en-US" w:eastAsia="zh-CN"/>
        </w:rPr>
        <w:t>一、中美人文社科方向</w:t>
      </w:r>
    </w:p>
    <w:p w14:paraId="7B003C7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楷体_GB2312" w:hAnsi="楷体_GB2312" w:eastAsia="楷体_GB2312" w:cs="楷体_GB2312"/>
          <w:b w:val="0"/>
          <w:bCs w:val="0"/>
          <w:sz w:val="32"/>
          <w:szCs w:val="32"/>
          <w:highlight w:val="none"/>
          <w:lang w:val="en-US" w:eastAsia="zh-CN"/>
        </w:rPr>
      </w:pPr>
      <w:r>
        <w:rPr>
          <w:rFonts w:hint="eastAsia" w:ascii="楷体_GB2312" w:hAnsi="楷体_GB2312" w:eastAsia="楷体_GB2312" w:cs="楷体_GB2312"/>
          <w:b w:val="0"/>
          <w:bCs w:val="0"/>
          <w:sz w:val="32"/>
          <w:szCs w:val="32"/>
          <w:highlight w:val="none"/>
          <w:lang w:val="en-US" w:eastAsia="zh-CN"/>
        </w:rPr>
        <w:t>（一）理论研究类</w:t>
      </w:r>
    </w:p>
    <w:p w14:paraId="7A27613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.中美“Z世代”价值观、文化认同与消费行为比较研究</w:t>
      </w:r>
    </w:p>
    <w:p w14:paraId="3869286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.中美人文交流的历史经验与当代启示研究</w:t>
      </w:r>
    </w:p>
    <w:p w14:paraId="7CE85F2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.数字时代中美青年文化认同与价值观比较研究</w:t>
      </w:r>
    </w:p>
    <w:p w14:paraId="7327E11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楷体_GB2312" w:hAnsi="楷体_GB2312" w:eastAsia="楷体_GB2312" w:cs="楷体_GB2312"/>
          <w:b w:val="0"/>
          <w:bCs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4.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中美媒体对双边人文交流的叙事框架对比——以教育、艺术、体育领域为核心的分析</w:t>
      </w:r>
    </w:p>
    <w:p w14:paraId="426B7AB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楷体_GB2312" w:hAnsi="楷体_GB2312" w:eastAsia="楷体_GB2312" w:cs="楷体_GB2312"/>
          <w:b w:val="0"/>
          <w:bCs w:val="0"/>
          <w:sz w:val="32"/>
          <w:szCs w:val="32"/>
          <w:highlight w:val="none"/>
          <w:lang w:val="en-US" w:eastAsia="zh-CN"/>
        </w:rPr>
      </w:pPr>
      <w:r>
        <w:rPr>
          <w:rFonts w:hint="eastAsia" w:ascii="楷体_GB2312" w:hAnsi="楷体_GB2312" w:eastAsia="楷体_GB2312" w:cs="楷体_GB2312"/>
          <w:b w:val="0"/>
          <w:bCs w:val="0"/>
          <w:sz w:val="32"/>
          <w:szCs w:val="32"/>
          <w:highlight w:val="none"/>
          <w:lang w:val="en-US" w:eastAsia="zh-CN"/>
        </w:rPr>
        <w:t>（二）应用对策类</w:t>
      </w:r>
    </w:p>
    <w:p w14:paraId="6B6E89D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.海外华人与中美关系的桥梁作用研究——以温州侨胞网络为中心</w:t>
      </w:r>
    </w:p>
    <w:p w14:paraId="6A4CC7C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人类命运共同体理念的中美青年对话机制构建研究</w:t>
      </w:r>
    </w:p>
    <w:p w14:paraId="7D2A41B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3.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文化自信视域下中美文化产业交流与高校文化育人研究</w:t>
      </w:r>
    </w:p>
    <w:p w14:paraId="6DC157C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4.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中美关系波动下高校留学生群体的思想动态与引导策略研究</w:t>
      </w:r>
    </w:p>
    <w:p w14:paraId="40FE5A5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5.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中美地方层级交流的活力、机制与成效研究</w:t>
      </w:r>
    </w:p>
    <w:p w14:paraId="5BC81E8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C0000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6.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地方文化的国际表达：温州非遗/民营经济文化对美传播路径与机制研究</w:t>
      </w:r>
    </w:p>
    <w:p w14:paraId="2774218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7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.来华美国青年沉浸式体验对中国形象认知的重塑作用研究</w:t>
      </w:r>
    </w:p>
    <w:p w14:paraId="3F12807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yellow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8.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温州城市IP国际传播现状分析与创新路径研究</w:t>
      </w:r>
    </w:p>
    <w:p w14:paraId="57E89D1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highlight w:val="none"/>
          <w:lang w:val="en-US" w:eastAsia="zh-CN"/>
        </w:rPr>
        <w:t>二、中美经济贸易方向</w:t>
      </w:r>
    </w:p>
    <w:p w14:paraId="772F8DB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楷体_GB2312" w:hAnsi="楷体_GB2312" w:eastAsia="楷体_GB2312" w:cs="楷体_GB2312"/>
          <w:b w:val="0"/>
          <w:bCs w:val="0"/>
          <w:sz w:val="32"/>
          <w:szCs w:val="32"/>
          <w:highlight w:val="none"/>
          <w:lang w:val="en-US" w:eastAsia="zh-CN"/>
        </w:rPr>
      </w:pPr>
      <w:r>
        <w:rPr>
          <w:rFonts w:hint="eastAsia" w:ascii="楷体_GB2312" w:hAnsi="楷体_GB2312" w:eastAsia="楷体_GB2312" w:cs="楷体_GB2312"/>
          <w:b w:val="0"/>
          <w:bCs w:val="0"/>
          <w:sz w:val="32"/>
          <w:szCs w:val="32"/>
          <w:highlight w:val="none"/>
          <w:lang w:val="en-US" w:eastAsia="zh-CN"/>
        </w:rPr>
        <w:t>（一）理论研究类</w:t>
      </w:r>
    </w:p>
    <w:p w14:paraId="734D593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</w:t>
      </w:r>
      <w:r>
        <w:rPr>
          <w:rFonts w:hint="eastAsia" w:ascii="仿宋_GB2312" w:hAnsi="仿宋_GB2312" w:eastAsia="仿宋_GB2312" w:cs="仿宋_GB2312"/>
          <w:sz w:val="32"/>
          <w:szCs w:val="32"/>
        </w:rPr>
        <w:t>中美全球治理观念分歧与可能的合作空间研究——以世界贸易组织（WTO）改革为例</w:t>
      </w:r>
    </w:p>
    <w:p w14:paraId="64F0F11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sz w:val="32"/>
          <w:szCs w:val="32"/>
        </w:rPr>
        <w:t>中美文化产业贸易结构、竞争力与政策环境比较研究</w:t>
      </w:r>
    </w:p>
    <w:p w14:paraId="787CF56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3.</w:t>
      </w:r>
      <w:r>
        <w:rPr>
          <w:rFonts w:hint="eastAsia" w:ascii="仿宋_GB2312" w:hAnsi="仿宋_GB2312" w:eastAsia="仿宋_GB2312" w:cs="仿宋_GB2312"/>
          <w:sz w:val="32"/>
          <w:szCs w:val="32"/>
        </w:rPr>
        <w:t>美国经济学与中国经济改革的早期连接研究</w:t>
      </w:r>
    </w:p>
    <w:p w14:paraId="47A92A7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楷体_GB2312" w:hAnsi="楷体_GB2312" w:eastAsia="楷体_GB2312" w:cs="楷体_GB2312"/>
          <w:b w:val="0"/>
          <w:bCs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4.</w:t>
      </w:r>
      <w:r>
        <w:rPr>
          <w:rFonts w:hint="eastAsia" w:ascii="仿宋_GB2312" w:hAnsi="仿宋_GB2312" w:eastAsia="仿宋_GB2312" w:cs="仿宋_GB2312"/>
          <w:sz w:val="32"/>
          <w:szCs w:val="32"/>
        </w:rPr>
        <w:t>美国媒体与智库对中国“经济奇迹”的叙事演变</w:t>
      </w:r>
    </w:p>
    <w:p w14:paraId="459988A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楷体_GB2312" w:hAnsi="楷体_GB2312" w:eastAsia="楷体_GB2312" w:cs="楷体_GB2312"/>
          <w:b w:val="0"/>
          <w:bCs w:val="0"/>
          <w:sz w:val="32"/>
          <w:szCs w:val="32"/>
          <w:highlight w:val="none"/>
          <w:lang w:val="en-US" w:eastAsia="zh-CN"/>
        </w:rPr>
      </w:pPr>
      <w:r>
        <w:rPr>
          <w:rFonts w:hint="eastAsia" w:ascii="楷体_GB2312" w:hAnsi="楷体_GB2312" w:eastAsia="楷体_GB2312" w:cs="楷体_GB2312"/>
          <w:b w:val="0"/>
          <w:bCs w:val="0"/>
          <w:sz w:val="32"/>
          <w:szCs w:val="32"/>
          <w:highlight w:val="none"/>
          <w:lang w:val="en-US" w:eastAsia="zh-CN"/>
        </w:rPr>
        <w:t>（二）应用对策类</w:t>
      </w:r>
    </w:p>
    <w:p w14:paraId="60FCF46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</w:t>
      </w:r>
      <w:r>
        <w:rPr>
          <w:rFonts w:hint="eastAsia" w:ascii="仿宋_GB2312" w:hAnsi="仿宋_GB2312" w:eastAsia="仿宋_GB2312" w:cs="仿宋_GB2312"/>
          <w:sz w:val="32"/>
          <w:szCs w:val="32"/>
        </w:rPr>
        <w:t>中美经贸摩擦的“地方应对”与“产业韧性”研究——以温州民营制造业为例</w:t>
      </w:r>
    </w:p>
    <w:p w14:paraId="753CA6B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sz w:val="32"/>
          <w:szCs w:val="32"/>
        </w:rPr>
        <w:t>数字经济时代下的中美技术竞争与合作研究——聚焦人工智能与生物医药产业</w:t>
      </w:r>
    </w:p>
    <w:p w14:paraId="38AC3CA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3.</w:t>
      </w:r>
      <w:r>
        <w:rPr>
          <w:rFonts w:hint="eastAsia" w:ascii="仿宋_GB2312" w:hAnsi="仿宋_GB2312" w:eastAsia="仿宋_GB2312" w:cs="仿宋_GB2312"/>
          <w:sz w:val="32"/>
          <w:szCs w:val="32"/>
        </w:rPr>
        <w:t>绿色转型中的中美新能源产业政策与投资合作机遇研究</w:t>
      </w:r>
    </w:p>
    <w:p w14:paraId="34F2CCA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b/>
          <w:bCs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4.</w:t>
      </w:r>
      <w:r>
        <w:rPr>
          <w:rFonts w:hint="eastAsia" w:ascii="仿宋_GB2312" w:hAnsi="仿宋_GB2312" w:eastAsia="仿宋_GB2312" w:cs="仿宋_GB2312"/>
          <w:sz w:val="32"/>
          <w:szCs w:val="32"/>
        </w:rPr>
        <w:t>中美关系波动下的在华美资企业心态与适应策略研究——基于对长三角地区企业的调研</w:t>
      </w:r>
    </w:p>
    <w:p w14:paraId="672A6C4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highlight w:val="none"/>
          <w:lang w:val="en-US" w:eastAsia="zh-CN"/>
        </w:rPr>
        <w:t>三、交叉学科方向</w:t>
      </w:r>
    </w:p>
    <w:p w14:paraId="290318B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楷体_GB2312" w:hAnsi="楷体_GB2312" w:eastAsia="楷体_GB2312" w:cs="楷体_GB2312"/>
          <w:b w:val="0"/>
          <w:bCs w:val="0"/>
          <w:sz w:val="32"/>
          <w:szCs w:val="32"/>
          <w:highlight w:val="none"/>
          <w:lang w:val="en-US" w:eastAsia="zh-CN"/>
        </w:rPr>
      </w:pPr>
      <w:r>
        <w:rPr>
          <w:rFonts w:hint="eastAsia" w:ascii="楷体_GB2312" w:hAnsi="楷体_GB2312" w:eastAsia="楷体_GB2312" w:cs="楷体_GB2312"/>
          <w:b w:val="0"/>
          <w:bCs w:val="0"/>
          <w:sz w:val="32"/>
          <w:szCs w:val="32"/>
          <w:highlight w:val="none"/>
          <w:lang w:val="en-US" w:eastAsia="zh-CN"/>
        </w:rPr>
        <w:t>（一）理论研究类</w:t>
      </w:r>
    </w:p>
    <w:p w14:paraId="0A2D400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.中美地方层面人文交流的机制与效能研究——以姐妹城市、文化交流活动为例</w:t>
      </w:r>
    </w:p>
    <w:p w14:paraId="5FF0E0F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楷体_GB2312" w:hAnsi="楷体_GB2312" w:eastAsia="楷体_GB2312" w:cs="楷体_GB2312"/>
          <w:b w:val="0"/>
          <w:bCs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.中美教育合作模式转型与复合型人才培养机制研究</w:t>
      </w:r>
    </w:p>
    <w:p w14:paraId="4BB8FDE2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楷体_GB2312" w:hAnsi="楷体_GB2312" w:eastAsia="楷体_GB2312" w:cs="楷体_GB2312"/>
          <w:b w:val="0"/>
          <w:bCs w:val="0"/>
          <w:sz w:val="32"/>
          <w:szCs w:val="32"/>
          <w:highlight w:val="none"/>
          <w:lang w:val="en-US" w:eastAsia="zh-CN"/>
        </w:rPr>
      </w:pPr>
      <w:r>
        <w:rPr>
          <w:rFonts w:hint="eastAsia" w:ascii="楷体_GB2312" w:hAnsi="楷体_GB2312" w:eastAsia="楷体_GB2312" w:cs="楷体_GB2312"/>
          <w:b w:val="0"/>
          <w:bCs w:val="0"/>
          <w:sz w:val="32"/>
          <w:szCs w:val="32"/>
          <w:highlight w:val="none"/>
          <w:lang w:val="en-US" w:eastAsia="zh-CN"/>
        </w:rPr>
        <w:t>应用对策类</w:t>
      </w:r>
    </w:p>
    <w:p w14:paraId="77F8451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C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.中美创新创业生态系统的比较研究——对温州建设区域性人才高地的启示</w:t>
      </w:r>
    </w:p>
    <w:p w14:paraId="6718EAC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.中美高等教育合作模式比较与创新路径研究——以温州肯恩大学为分析样本</w:t>
      </w:r>
    </w:p>
    <w:p w14:paraId="6C72E86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C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.中美地方交流机制化与区域合作路径研究</w:t>
      </w:r>
    </w:p>
    <w:p w14:paraId="6569E2A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4.青年领袖在中美可持续发展合作中的角色与作用——聚焦环境治理、公共卫生等人文社科交叉领域</w:t>
      </w:r>
    </w:p>
    <w:p w14:paraId="4AEC87C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5.中美中小企业合作中的信任构建与文化调适机制——基于温商跨境合作的案例分析</w:t>
      </w:r>
    </w:p>
    <w:p w14:paraId="1932A17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360364C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019726B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798C401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28939A7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黑体" w:hAnsi="黑体" w:eastAsia="黑体" w:cs="黑体"/>
          <w:sz w:val="32"/>
          <w:szCs w:val="32"/>
          <w:lang w:eastAsia="zh-CN"/>
        </w:rPr>
      </w:pPr>
    </w:p>
    <w:p w14:paraId="4A4426C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黑体" w:hAnsi="黑体" w:eastAsia="黑体" w:cs="黑体"/>
          <w:sz w:val="32"/>
          <w:szCs w:val="32"/>
          <w:lang w:eastAsia="zh-CN"/>
        </w:rPr>
      </w:pPr>
    </w:p>
    <w:p w14:paraId="03215A8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黑体" w:hAnsi="黑体" w:eastAsia="黑体" w:cs="黑体"/>
          <w:sz w:val="32"/>
          <w:szCs w:val="32"/>
          <w:lang w:eastAsia="zh-CN"/>
        </w:rPr>
      </w:pPr>
    </w:p>
    <w:p w14:paraId="149A208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黑体" w:hAnsi="黑体" w:eastAsia="黑体" w:cs="黑体"/>
          <w:sz w:val="32"/>
          <w:szCs w:val="32"/>
          <w:lang w:eastAsia="zh-CN"/>
        </w:rPr>
      </w:pPr>
    </w:p>
    <w:p w14:paraId="38606A35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国标小标宋">
    <w:altName w:val="方正小标宋简体"/>
    <w:panose1 w:val="02000500000000000000"/>
    <w:charset w:val="86"/>
    <w:family w:val="auto"/>
    <w:pitch w:val="default"/>
    <w:sig w:usb0="00000000" w:usb1="00000000" w:usb2="00000000" w:usb3="00000000" w:csb0="00040000" w:csb1="00000000"/>
  </w:font>
  <w:font w:name="方正小标宋_GBK">
    <w:altName w:val="Arial Unicode MS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00"/>
    <w:multiLevelType w:val="singleLevel"/>
    <w:tmpl w:val="00000000"/>
    <w:lvl w:ilvl="0" w:tentative="0">
      <w:start w:val="2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EAB0AD5"/>
    <w:rsid w:val="1EAB0A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next w:val="1"/>
    <w:qFormat/>
    <w:uiPriority w:val="0"/>
    <w:pPr>
      <w:spacing w:line="500" w:lineRule="exact"/>
      <w:ind w:firstLine="420"/>
    </w:pPr>
    <w:rPr>
      <w:rFonts w:eastAsia="宋体"/>
      <w:sz w:val="28"/>
    </w:rPr>
  </w:style>
  <w:style w:type="paragraph" w:styleId="3">
    <w:name w:val="Body Text"/>
    <w:basedOn w:val="1"/>
    <w:next w:val="2"/>
    <w:qFormat/>
    <w:uiPriority w:val="0"/>
    <w:pPr>
      <w:widowControl w:val="0"/>
      <w:spacing w:after="12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2026-04-24T00:00:00Z</dcterms:created>
  <dc:creator>minisalt</dc:creator>
  <cp:lastModifiedBy>minisalt</cp:lastModifiedBy>
  <dcterms:modified xsi:type="dcterms:W3CDTF">2026-04-24T00:00:54Z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A3CDE1DFB73F42C4AE047433DC4BD879_11</vt:lpwstr>
  </property>
  <property fmtid="{D5CDD505-2E9C-101B-9397-08002B2CF9AE}" pid="4" name="KSOTemplateDocerSaveRecord">
    <vt:lpwstr>eyJoZGlkIjoiZGQ2YWVjYjhhZDM4ZWMzZDI3NDU1OWI1ODA5MjI3YzgiLCJ1c2VySWQiOiIxMTU4NTIzMjY3In0=</vt:lpwstr>
  </property>
</Properties>
</file>