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ascii="方正小标宋_GBK" w:hAnsi="楷体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_GBK" w:hAnsi="楷体" w:eastAsia="方正小标宋_GBK" w:cs="Times New Roman"/>
          <w:sz w:val="44"/>
          <w:szCs w:val="44"/>
        </w:rPr>
      </w:pPr>
      <w:r>
        <w:rPr>
          <w:rFonts w:hint="eastAsia" w:ascii="方正小标宋_GBK" w:hAnsi="楷体" w:eastAsia="方正小标宋_GBK" w:cs="Times New Roman"/>
          <w:sz w:val="44"/>
          <w:szCs w:val="44"/>
        </w:rPr>
        <w:t>中国法学会2022年度部级法学研究课题指南</w:t>
      </w:r>
    </w:p>
    <w:p>
      <w:pPr>
        <w:adjustRightInd w:val="0"/>
        <w:snapToGrid w:val="0"/>
        <w:spacing w:line="540" w:lineRule="exact"/>
        <w:rPr>
          <w:rFonts w:ascii="仿宋_GB2312" w:hAnsi="楷体" w:eastAsia="仿宋_GB2312" w:cs="Times New Roman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一、重大课题(4项)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1.习近平法治思想对马克思主义法治理论的原创性贡献研究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2.在“两个结合”中推进马克思主义法治理论中国化研究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3.中国式法治现代化新道路研究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4.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全过程人民民主法治保障研究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28"/>
          <w:szCs w:val="28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二、重点课题（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5.坚持党对全面依法治国的领导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6.坚持以人民为中心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7.坚持中国特色社会主义法治道路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8.坚持依宪治国、依宪执政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9.坚持在法治轨道上推进国家治理体系和治理能力现代化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10.坚持建设中国特色社会主义法治体系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11.坚持依法治国、依法执政、依法行政共同推进，法治国家、法治政府、法治社会一体建设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12.坚持全面推进科学立法、严格执法、公正司法、全民守法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13.坚持统筹推进国内法治和涉外法治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14.坚持建设德才兼备的高素质法治工作队伍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15.坚持抓住领导干部这个“关键少数”</w:t>
      </w:r>
    </w:p>
    <w:p>
      <w:pPr>
        <w:adjustRightInd w:val="0"/>
        <w:snapToGrid w:val="0"/>
        <w:spacing w:line="540" w:lineRule="exact"/>
        <w:rPr>
          <w:rFonts w:hint="default" w:ascii="仿宋" w:hAnsi="仿宋" w:eastAsia="仿宋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16.加强中国特色社会主义法治体系建设新概念新范畴新表达研究</w:t>
      </w:r>
    </w:p>
    <w:p>
      <w:pPr>
        <w:spacing w:line="54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三、一般课题（36项）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.新时代法治建设中坚持党的领导经验研究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.加强党对立法工作的集中统一领导研究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.完善党领导经济工作体制机制法律问题研究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.新时代坚持和完善人民代表大会制度的法治路径研究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.共同富裕法治保障研究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.养老服务业发展法治保障研究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.社会主义民主政治制度化规范化程序化研究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.中国特色社会主义经济特区建设法治经验研究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.现行宪法公布施行40周年成就与经验研究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.党的十八大以来宪法实施状况研究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.健全中央对特别行政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行使全面管辖权的法律制度研究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.香港特别行政区基本法实施25周年成就与经验研究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.粤港澳大湾区建设法治保障研究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.营商环境法治化与商事法</w:t>
      </w:r>
      <w:bookmarkStart w:id="0" w:name="_GoBack"/>
      <w:bookmarkEnd w:id="0"/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律制度现代化研究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.推进国家安全体系和能力建设法治问题研究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.深化法治领域改革研究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.完善再分配调节体系法律问题研究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.数字时代健全反垄断体制机制研究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.健全知识产权保护体制机制研究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.云平台知识产权法律问题研究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.数字政府建设的法治保障研究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.新时代法治建设中诉源治理经验与问题研究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.我国民法典编纂的经验研究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.部门法法典化研究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.健全重点领域法律风险应对机制研究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.数字经济法治保障研究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.建立数据产权法律制度研究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.完善互联网金融法律制度研究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.完善反制裁法律法规研究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.涉外法治战略中的商事争端解决机制研究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.健全境外投资法律制度研究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.改革和建设全球治理体系法律问题研究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.加强绿色国际合作法律问题研究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.对外援助立法问题研究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.深化执法司法人员管理体制改革研究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.加强党内法规专门工作队伍建设研究</w:t>
      </w:r>
    </w:p>
    <w:p>
      <w:pPr>
        <w:spacing w:line="540" w:lineRule="exac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黑体" w:hAnsi="黑体" w:eastAsia="黑体" w:cs="方正小标宋简体"/>
          <w:sz w:val="32"/>
          <w:szCs w:val="32"/>
        </w:rPr>
        <w:t>四、青年调研课题（5项）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.党领导人大工作实证研究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.我国刑罚适用的实证研究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.健全数字经济公平竞争监管法律制度研究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.完善人工智能法律制度研究</w:t>
      </w:r>
    </w:p>
    <w:p>
      <w:pPr>
        <w:adjustRightInd w:val="0"/>
        <w:snapToGrid w:val="0"/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.《全面与进步跨太平洋伙伴关系协定》研究</w:t>
      </w:r>
    </w:p>
    <w:p>
      <w:pPr>
        <w:spacing w:line="54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五、基础研究重点激励课题（2项）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.当代中国法系研究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.中国古代盛世法律研究</w:t>
      </w:r>
    </w:p>
    <w:p>
      <w:pPr>
        <w:spacing w:line="54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六、西部课题（2项）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完善差别化区域支持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法治保障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研究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6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.完善沿边开发开放法治体系研究</w:t>
      </w:r>
    </w:p>
    <w:p>
      <w:pPr>
        <w:spacing w:line="540" w:lineRule="exact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15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37916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56"/>
    <w:rsid w:val="00055394"/>
    <w:rsid w:val="000902A4"/>
    <w:rsid w:val="000C664D"/>
    <w:rsid w:val="000E440F"/>
    <w:rsid w:val="00115314"/>
    <w:rsid w:val="00181510"/>
    <w:rsid w:val="001F2E8C"/>
    <w:rsid w:val="00216BAE"/>
    <w:rsid w:val="00216BDB"/>
    <w:rsid w:val="002174BF"/>
    <w:rsid w:val="00223231"/>
    <w:rsid w:val="00225EB5"/>
    <w:rsid w:val="00226154"/>
    <w:rsid w:val="00273029"/>
    <w:rsid w:val="00273C27"/>
    <w:rsid w:val="00275024"/>
    <w:rsid w:val="002822B5"/>
    <w:rsid w:val="002E5AD1"/>
    <w:rsid w:val="00313336"/>
    <w:rsid w:val="00337C51"/>
    <w:rsid w:val="00355AB9"/>
    <w:rsid w:val="0039305A"/>
    <w:rsid w:val="003C66FA"/>
    <w:rsid w:val="003D5373"/>
    <w:rsid w:val="004704CD"/>
    <w:rsid w:val="00486FAD"/>
    <w:rsid w:val="00496CD7"/>
    <w:rsid w:val="004A0246"/>
    <w:rsid w:val="004E2DA1"/>
    <w:rsid w:val="005705E1"/>
    <w:rsid w:val="00636857"/>
    <w:rsid w:val="00681971"/>
    <w:rsid w:val="006E79C2"/>
    <w:rsid w:val="007220A1"/>
    <w:rsid w:val="0073090D"/>
    <w:rsid w:val="00760BB6"/>
    <w:rsid w:val="007A71F7"/>
    <w:rsid w:val="007D651C"/>
    <w:rsid w:val="00810D1D"/>
    <w:rsid w:val="00875752"/>
    <w:rsid w:val="008950B0"/>
    <w:rsid w:val="008C2CD4"/>
    <w:rsid w:val="008F2D13"/>
    <w:rsid w:val="008F409D"/>
    <w:rsid w:val="009E3E99"/>
    <w:rsid w:val="00A16EBA"/>
    <w:rsid w:val="00AC6EBB"/>
    <w:rsid w:val="00B75047"/>
    <w:rsid w:val="00BF519D"/>
    <w:rsid w:val="00C7000C"/>
    <w:rsid w:val="00C96190"/>
    <w:rsid w:val="00CA0A05"/>
    <w:rsid w:val="00CB2631"/>
    <w:rsid w:val="00CE0342"/>
    <w:rsid w:val="00D717ED"/>
    <w:rsid w:val="00D822FC"/>
    <w:rsid w:val="00D93040"/>
    <w:rsid w:val="00DA79E2"/>
    <w:rsid w:val="00DB3F0A"/>
    <w:rsid w:val="00DD325D"/>
    <w:rsid w:val="00E0084F"/>
    <w:rsid w:val="00ED0465"/>
    <w:rsid w:val="00ED6954"/>
    <w:rsid w:val="00EF3B56"/>
    <w:rsid w:val="00F2003F"/>
    <w:rsid w:val="00F33D21"/>
    <w:rsid w:val="00F54E88"/>
    <w:rsid w:val="00FB10B2"/>
    <w:rsid w:val="0B36D9EE"/>
    <w:rsid w:val="7FADB9EC"/>
    <w:rsid w:val="7FF6D50B"/>
    <w:rsid w:val="BFEB9E80"/>
    <w:rsid w:val="EC5F0265"/>
    <w:rsid w:val="EFFD9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239</TotalTime>
  <ScaleCrop>false</ScaleCrop>
  <LinksUpToDate>false</LinksUpToDate>
  <CharactersWithSpaces>1289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2022-01-05T07:37:00Z</dcterms:created>
  <dc:creator>1317</dc:creator>
  <cp:lastModifiedBy>fxhuser</cp:lastModifiedBy>
  <cp:lastPrinted>2022-01-25T02:46:00Z</cp:lastPrinted>
  <dcterms:modified xsi:type="dcterms:W3CDTF">2022-02-11T11:06:50Z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