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75" w:rsidRPr="00CB3073" w:rsidRDefault="00E40075" w:rsidP="00E40075">
      <w:pPr>
        <w:snapToGrid w:val="0"/>
        <w:spacing w:line="560" w:lineRule="exact"/>
        <w:rPr>
          <w:rFonts w:ascii="黑体" w:eastAsia="黑体" w:hint="eastAsia"/>
          <w:bCs/>
          <w:color w:val="000000"/>
          <w:sz w:val="32"/>
          <w:szCs w:val="32"/>
        </w:rPr>
      </w:pPr>
      <w:r w:rsidRPr="00CB3073">
        <w:rPr>
          <w:rFonts w:ascii="黑体" w:eastAsia="黑体" w:hint="eastAsia"/>
          <w:bCs/>
          <w:color w:val="000000"/>
          <w:sz w:val="32"/>
          <w:szCs w:val="32"/>
        </w:rPr>
        <w:t>附件５</w:t>
      </w:r>
    </w:p>
    <w:p w:rsidR="00E40075" w:rsidRDefault="00E40075" w:rsidP="00E40075">
      <w:pPr>
        <w:snapToGrid w:val="0"/>
        <w:spacing w:line="560" w:lineRule="exact"/>
        <w:rPr>
          <w:rFonts w:eastAsia="仿宋_GB2312"/>
          <w:bCs/>
          <w:color w:val="000000"/>
          <w:sz w:val="30"/>
          <w:szCs w:val="30"/>
        </w:rPr>
      </w:pPr>
    </w:p>
    <w:p w:rsidR="00E40075" w:rsidRDefault="00E40075" w:rsidP="00E40075">
      <w:pPr>
        <w:snapToGrid w:val="0"/>
        <w:spacing w:line="560" w:lineRule="exact"/>
        <w:jc w:val="center"/>
        <w:rPr>
          <w:rFonts w:ascii="方正小标宋简体" w:eastAsia="方正小标宋简体"/>
          <w:bCs/>
          <w:color w:val="000000"/>
          <w:sz w:val="44"/>
          <w:szCs w:val="44"/>
        </w:rPr>
      </w:pPr>
      <w:r>
        <w:rPr>
          <w:rFonts w:ascii="方正小标宋简体" w:eastAsia="方正小标宋简体"/>
          <w:bCs/>
          <w:color w:val="000000"/>
          <w:sz w:val="44"/>
          <w:szCs w:val="44"/>
        </w:rPr>
        <w:t>2020</w:t>
      </w:r>
      <w:r>
        <w:rPr>
          <w:rFonts w:ascii="方正小标宋简体" w:eastAsia="方正小标宋简体" w:hint="eastAsia"/>
          <w:bCs/>
          <w:color w:val="000000"/>
          <w:sz w:val="44"/>
          <w:szCs w:val="44"/>
        </w:rPr>
        <w:t>年度</w:t>
      </w:r>
      <w:proofErr w:type="gramStart"/>
      <w:r>
        <w:rPr>
          <w:rFonts w:ascii="方正小标宋简体" w:eastAsia="方正小标宋简体" w:hint="eastAsia"/>
          <w:bCs/>
          <w:color w:val="000000"/>
          <w:sz w:val="44"/>
          <w:szCs w:val="44"/>
        </w:rPr>
        <w:t>省分析</w:t>
      </w:r>
      <w:proofErr w:type="gramEnd"/>
      <w:r>
        <w:rPr>
          <w:rFonts w:ascii="方正小标宋简体" w:eastAsia="方正小标宋简体" w:hint="eastAsia"/>
          <w:bCs/>
          <w:color w:val="000000"/>
          <w:sz w:val="44"/>
          <w:szCs w:val="44"/>
        </w:rPr>
        <w:t>测试项目申请指南</w:t>
      </w:r>
    </w:p>
    <w:p w:rsidR="00E40075" w:rsidRDefault="00E40075" w:rsidP="00E40075">
      <w:pPr>
        <w:snapToGrid w:val="0"/>
        <w:spacing w:line="560" w:lineRule="exact"/>
        <w:ind w:firstLineChars="200" w:firstLine="600"/>
        <w:rPr>
          <w:rFonts w:eastAsia="仿宋_GB2312"/>
          <w:color w:val="000000"/>
          <w:sz w:val="30"/>
          <w:szCs w:val="30"/>
        </w:rPr>
      </w:pPr>
    </w:p>
    <w:p w:rsidR="00E40075" w:rsidRDefault="00E40075" w:rsidP="00E40075">
      <w:p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分析测试科技计划项目是公益技术应用研究计划的组成部分，也是浙江省大型科学仪器设备协作共用平台建设和发展的重要组成部分，项目申报、评审、过程管理等执行公益技术应用研究计划管理规定。</w:t>
      </w:r>
    </w:p>
    <w:p w:rsidR="00E40075" w:rsidRDefault="00E40075" w:rsidP="00E40075">
      <w:pPr>
        <w:snapToGrid w:val="0"/>
        <w:spacing w:line="560" w:lineRule="exact"/>
        <w:ind w:firstLineChars="200" w:firstLine="600"/>
        <w:rPr>
          <w:rFonts w:ascii="黑体" w:eastAsia="黑体" w:hint="eastAsia"/>
          <w:bCs/>
          <w:color w:val="000000"/>
          <w:sz w:val="30"/>
          <w:szCs w:val="30"/>
        </w:rPr>
      </w:pPr>
      <w:r>
        <w:rPr>
          <w:rFonts w:ascii="黑体" w:eastAsia="黑体" w:hint="eastAsia"/>
          <w:bCs/>
          <w:color w:val="000000"/>
          <w:sz w:val="30"/>
          <w:szCs w:val="30"/>
        </w:rPr>
        <w:t>一、申报要求</w:t>
      </w:r>
    </w:p>
    <w:p w:rsidR="00E40075" w:rsidRDefault="00E40075" w:rsidP="00E40075">
      <w:p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 xml:space="preserve">1. </w:t>
      </w:r>
      <w:r>
        <w:rPr>
          <w:rFonts w:eastAsia="仿宋_GB2312" w:hint="eastAsia"/>
          <w:color w:val="000000"/>
          <w:sz w:val="30"/>
          <w:szCs w:val="30"/>
        </w:rPr>
        <w:t>申请人具有完成项目所需的研究和组织协调能力。</w:t>
      </w:r>
    </w:p>
    <w:p w:rsidR="00E40075" w:rsidRDefault="00E40075" w:rsidP="00E40075">
      <w:p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 xml:space="preserve">2. </w:t>
      </w:r>
      <w:r>
        <w:rPr>
          <w:rFonts w:eastAsia="仿宋_GB2312" w:hint="eastAsia"/>
          <w:color w:val="000000"/>
          <w:sz w:val="30"/>
          <w:szCs w:val="30"/>
        </w:rPr>
        <w:t>申请人所在单位或载体须向社会提供分析测试技术服务，且接收使用过一定额度的创新</w:t>
      </w:r>
      <w:proofErr w:type="gramStart"/>
      <w:r>
        <w:rPr>
          <w:rFonts w:eastAsia="仿宋_GB2312" w:hint="eastAsia"/>
          <w:color w:val="000000"/>
          <w:sz w:val="30"/>
          <w:szCs w:val="30"/>
        </w:rPr>
        <w:t>券</w:t>
      </w:r>
      <w:proofErr w:type="gramEnd"/>
      <w:r>
        <w:rPr>
          <w:rFonts w:eastAsia="仿宋_GB2312" w:hint="eastAsia"/>
          <w:color w:val="000000"/>
          <w:sz w:val="30"/>
          <w:szCs w:val="30"/>
        </w:rPr>
        <w:t>。</w:t>
      </w:r>
    </w:p>
    <w:p w:rsidR="00E40075" w:rsidRDefault="00E40075" w:rsidP="00E40075">
      <w:p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 xml:space="preserve">3. </w:t>
      </w:r>
      <w:r>
        <w:rPr>
          <w:rFonts w:eastAsia="仿宋_GB2312" w:hint="eastAsia"/>
          <w:color w:val="000000"/>
          <w:sz w:val="30"/>
          <w:szCs w:val="30"/>
        </w:rPr>
        <w:t>申请人所在单位需补全登记在浙江省科技</w:t>
      </w:r>
      <w:proofErr w:type="gramStart"/>
      <w:r>
        <w:rPr>
          <w:rFonts w:eastAsia="仿宋_GB2312" w:hint="eastAsia"/>
          <w:color w:val="000000"/>
          <w:sz w:val="30"/>
          <w:szCs w:val="30"/>
        </w:rPr>
        <w:t>云服务</w:t>
      </w:r>
      <w:proofErr w:type="gramEnd"/>
      <w:r>
        <w:rPr>
          <w:rFonts w:eastAsia="仿宋_GB2312" w:hint="eastAsia"/>
          <w:color w:val="000000"/>
          <w:sz w:val="30"/>
          <w:szCs w:val="30"/>
        </w:rPr>
        <w:t>平台上的大型科学仪器设备信息（价值</w:t>
      </w:r>
      <w:r>
        <w:rPr>
          <w:rFonts w:eastAsia="仿宋_GB2312" w:hint="eastAsia"/>
          <w:color w:val="000000"/>
          <w:sz w:val="30"/>
          <w:szCs w:val="30"/>
        </w:rPr>
        <w:t>30</w:t>
      </w:r>
      <w:r>
        <w:rPr>
          <w:rFonts w:eastAsia="仿宋_GB2312" w:hint="eastAsia"/>
          <w:color w:val="000000"/>
          <w:sz w:val="30"/>
          <w:szCs w:val="30"/>
        </w:rPr>
        <w:t>万元及以上）。</w:t>
      </w:r>
    </w:p>
    <w:p w:rsidR="00E40075" w:rsidRDefault="00E40075" w:rsidP="00E40075">
      <w:p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 xml:space="preserve">4. </w:t>
      </w:r>
      <w:r>
        <w:rPr>
          <w:rFonts w:eastAsia="仿宋_GB2312" w:hint="eastAsia"/>
          <w:color w:val="000000"/>
          <w:sz w:val="30"/>
          <w:szCs w:val="30"/>
        </w:rPr>
        <w:t>申请人所在单位具有完成项目所必备的人才条件和相关大型仪器设备基础。</w:t>
      </w:r>
    </w:p>
    <w:p w:rsidR="00E40075" w:rsidRDefault="00E40075" w:rsidP="00E40075">
      <w:pPr>
        <w:numPr>
          <w:ilvl w:val="0"/>
          <w:numId w:val="1"/>
        </w:num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对科研信用不佳、项目未能按期验收的单位在年度立项中予以等额递减。</w:t>
      </w:r>
    </w:p>
    <w:p w:rsidR="00E40075" w:rsidRDefault="00E40075" w:rsidP="00E40075">
      <w:pPr>
        <w:numPr>
          <w:ilvl w:val="0"/>
          <w:numId w:val="1"/>
        </w:numPr>
        <w:snapToGrid w:val="0"/>
        <w:spacing w:line="560" w:lineRule="exact"/>
        <w:ind w:firstLineChars="200" w:firstLine="600"/>
        <w:rPr>
          <w:rFonts w:eastAsia="仿宋_GB2312" w:hint="eastAsia"/>
          <w:color w:val="000000"/>
          <w:sz w:val="30"/>
          <w:szCs w:val="30"/>
        </w:rPr>
      </w:pPr>
      <w:r>
        <w:rPr>
          <w:rFonts w:eastAsia="仿宋_GB2312" w:hint="eastAsia"/>
          <w:color w:val="000000"/>
          <w:sz w:val="30"/>
          <w:szCs w:val="30"/>
        </w:rPr>
        <w:t>本次申报采取限额推荐，浙江大学不超过</w:t>
      </w:r>
      <w:r>
        <w:rPr>
          <w:rFonts w:eastAsia="仿宋_GB2312"/>
          <w:color w:val="000000"/>
          <w:sz w:val="30"/>
          <w:szCs w:val="30"/>
        </w:rPr>
        <w:t>30</w:t>
      </w:r>
      <w:r>
        <w:rPr>
          <w:rFonts w:eastAsia="仿宋_GB2312" w:hint="eastAsia"/>
          <w:color w:val="000000"/>
          <w:sz w:val="30"/>
          <w:szCs w:val="30"/>
        </w:rPr>
        <w:t>项，省属高校不超过</w:t>
      </w:r>
      <w:r>
        <w:rPr>
          <w:rFonts w:eastAsia="仿宋_GB2312"/>
          <w:color w:val="000000"/>
          <w:sz w:val="30"/>
          <w:szCs w:val="30"/>
        </w:rPr>
        <w:t>10</w:t>
      </w:r>
      <w:r>
        <w:rPr>
          <w:rFonts w:eastAsia="仿宋_GB2312" w:hint="eastAsia"/>
          <w:color w:val="000000"/>
          <w:sz w:val="30"/>
          <w:szCs w:val="30"/>
        </w:rPr>
        <w:t>项，省部属科研院所不超过</w:t>
      </w:r>
      <w:r>
        <w:rPr>
          <w:rFonts w:eastAsia="仿宋_GB2312"/>
          <w:color w:val="000000"/>
          <w:sz w:val="30"/>
          <w:szCs w:val="30"/>
        </w:rPr>
        <w:t>5</w:t>
      </w:r>
      <w:r>
        <w:rPr>
          <w:rFonts w:eastAsia="仿宋_GB2312" w:hint="eastAsia"/>
          <w:color w:val="000000"/>
          <w:sz w:val="30"/>
          <w:szCs w:val="30"/>
        </w:rPr>
        <w:t>项，其他有省级重点实验室、科技创新服务平台牵头单位（不含高校院所）不超过</w:t>
      </w:r>
      <w:r>
        <w:rPr>
          <w:rFonts w:eastAsia="仿宋_GB2312"/>
          <w:color w:val="000000"/>
          <w:sz w:val="30"/>
          <w:szCs w:val="30"/>
        </w:rPr>
        <w:t>2</w:t>
      </w:r>
      <w:r>
        <w:rPr>
          <w:rFonts w:eastAsia="仿宋_GB2312" w:hint="eastAsia"/>
          <w:color w:val="000000"/>
          <w:sz w:val="30"/>
          <w:szCs w:val="30"/>
        </w:rPr>
        <w:t>项，无实验室、平台的单位不超过</w:t>
      </w:r>
      <w:r>
        <w:rPr>
          <w:rFonts w:eastAsia="仿宋_GB2312"/>
          <w:color w:val="000000"/>
          <w:sz w:val="30"/>
          <w:szCs w:val="30"/>
        </w:rPr>
        <w:t>1</w:t>
      </w:r>
      <w:r>
        <w:rPr>
          <w:rFonts w:eastAsia="仿宋_GB2312" w:hint="eastAsia"/>
          <w:color w:val="000000"/>
          <w:sz w:val="30"/>
          <w:szCs w:val="30"/>
        </w:rPr>
        <w:t>项。</w:t>
      </w:r>
    </w:p>
    <w:p w:rsidR="00E40075" w:rsidRDefault="00E40075" w:rsidP="00E40075">
      <w:pPr>
        <w:snapToGrid w:val="0"/>
        <w:spacing w:line="560" w:lineRule="exact"/>
        <w:ind w:firstLineChars="200" w:firstLine="600"/>
        <w:rPr>
          <w:rFonts w:ascii="黑体" w:eastAsia="黑体" w:hint="eastAsia"/>
          <w:bCs/>
          <w:color w:val="000000"/>
          <w:sz w:val="30"/>
          <w:szCs w:val="30"/>
        </w:rPr>
      </w:pPr>
      <w:r>
        <w:rPr>
          <w:rFonts w:ascii="黑体" w:eastAsia="黑体" w:hint="eastAsia"/>
          <w:bCs/>
          <w:color w:val="000000"/>
          <w:sz w:val="30"/>
          <w:szCs w:val="30"/>
        </w:rPr>
        <w:t>二、主要支持方向</w:t>
      </w:r>
    </w:p>
    <w:p w:rsidR="00E40075" w:rsidRDefault="00E40075" w:rsidP="00E40075">
      <w:pPr>
        <w:snapToGrid w:val="0"/>
        <w:spacing w:line="560" w:lineRule="exact"/>
        <w:ind w:firstLineChars="200" w:firstLine="600"/>
        <w:rPr>
          <w:rFonts w:eastAsia="仿宋_GB2312"/>
          <w:color w:val="000000"/>
          <w:sz w:val="30"/>
          <w:szCs w:val="30"/>
        </w:rPr>
      </w:pPr>
      <w:r>
        <w:rPr>
          <w:rFonts w:eastAsia="仿宋_GB2312" w:hint="eastAsia"/>
          <w:color w:val="000000"/>
          <w:sz w:val="30"/>
          <w:szCs w:val="30"/>
        </w:rPr>
        <w:t>资助全省范围内大型科学仪器设备在分析测试新方法和新</w:t>
      </w:r>
      <w:r>
        <w:rPr>
          <w:rFonts w:eastAsia="仿宋_GB2312" w:hint="eastAsia"/>
          <w:color w:val="000000"/>
          <w:sz w:val="30"/>
          <w:szCs w:val="30"/>
        </w:rPr>
        <w:lastRenderedPageBreak/>
        <w:t>技术的研究，促进我省大型科学仪器设备分析测试技术的进步，加快我省分析测试人才的培养，提高我省大型科学仪器设备的利用效率和应用水平。重点支持以下</w:t>
      </w:r>
      <w:r>
        <w:rPr>
          <w:rFonts w:eastAsia="仿宋_GB2312"/>
          <w:color w:val="000000"/>
          <w:sz w:val="30"/>
          <w:szCs w:val="30"/>
        </w:rPr>
        <w:t>6</w:t>
      </w:r>
      <w:r>
        <w:rPr>
          <w:rFonts w:eastAsia="仿宋_GB2312" w:hint="eastAsia"/>
          <w:color w:val="000000"/>
          <w:sz w:val="30"/>
          <w:szCs w:val="30"/>
        </w:rPr>
        <w:t>个方向的科研工作：</w:t>
      </w:r>
    </w:p>
    <w:p w:rsidR="00E40075" w:rsidRDefault="00E40075" w:rsidP="00E40075">
      <w:pPr>
        <w:snapToGrid w:val="0"/>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（一）新材料与无机物分析</w:t>
      </w:r>
    </w:p>
    <w:p w:rsidR="00E40075" w:rsidRDefault="00E40075" w:rsidP="00E40075">
      <w:pPr>
        <w:snapToGrid w:val="0"/>
        <w:spacing w:line="560" w:lineRule="exact"/>
        <w:ind w:firstLineChars="200" w:firstLine="600"/>
        <w:rPr>
          <w:rFonts w:eastAsia="仿宋_GB2312"/>
          <w:color w:val="000000"/>
          <w:sz w:val="30"/>
          <w:szCs w:val="30"/>
        </w:rPr>
      </w:pPr>
      <w:r>
        <w:rPr>
          <w:rFonts w:eastAsia="仿宋_GB2312" w:hint="eastAsia"/>
          <w:color w:val="000000"/>
          <w:sz w:val="30"/>
          <w:szCs w:val="30"/>
        </w:rPr>
        <w:t>围绕我省纳米材料、氟硅化工新材料、电子信息类材料、能</w:t>
      </w:r>
      <w:proofErr w:type="gramStart"/>
      <w:r>
        <w:rPr>
          <w:rFonts w:eastAsia="仿宋_GB2312" w:hint="eastAsia"/>
          <w:color w:val="000000"/>
          <w:sz w:val="30"/>
          <w:szCs w:val="30"/>
        </w:rPr>
        <w:t>源材料</w:t>
      </w:r>
      <w:proofErr w:type="gramEnd"/>
      <w:r>
        <w:rPr>
          <w:rFonts w:eastAsia="仿宋_GB2312" w:hint="eastAsia"/>
          <w:color w:val="000000"/>
          <w:sz w:val="30"/>
          <w:szCs w:val="30"/>
        </w:rPr>
        <w:t>、金属材料、环境友好材料、新型功能材料、无机矿物物料等我省优势新材料研究与开发，用分析测试技术进行材料的组成分析、结构表征、表面特征与微观结构表征、物理化学性能测试的新技术和新方法研究，主要包括：</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．无机材料微观结构与形貌的分析测试，专用纳米材料表面元素形态分析；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．高分子材料结构表征和微观形貌的分析测试；</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．材料物理化学性能测试；</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．特殊元素痕量分析，固体样品中硼、锡、银、硒、铀、隔、氯、溴、碘、碳、硫等元素的快速分析方法的开发及其方法改进的研究；</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5</w:t>
      </w:r>
      <w:r>
        <w:rPr>
          <w:rFonts w:eastAsia="仿宋_GB2312" w:hint="eastAsia"/>
          <w:color w:val="000000"/>
          <w:sz w:val="30"/>
          <w:szCs w:val="30"/>
        </w:rPr>
        <w:t>．无机物现场及原位、过程快速分析，包括快速样品制备技术和快速元素分析；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6</w:t>
      </w:r>
      <w:r>
        <w:rPr>
          <w:rFonts w:eastAsia="仿宋_GB2312" w:hint="eastAsia"/>
          <w:color w:val="000000"/>
          <w:sz w:val="30"/>
          <w:szCs w:val="30"/>
        </w:rPr>
        <w:t>．同位素分析、考古样品中断代和断源鉴定技术，包括稳定同位素示踪分析、同位素稀释分析、热释光分析和</w:t>
      </w:r>
      <w:r>
        <w:rPr>
          <w:rFonts w:eastAsia="仿宋_GB2312"/>
          <w:color w:val="000000"/>
          <w:sz w:val="30"/>
          <w:szCs w:val="30"/>
        </w:rPr>
        <w:t>X—</w:t>
      </w:r>
      <w:r>
        <w:rPr>
          <w:rFonts w:eastAsia="仿宋_GB2312" w:hint="eastAsia"/>
          <w:color w:val="000000"/>
          <w:sz w:val="30"/>
          <w:szCs w:val="30"/>
        </w:rPr>
        <w:t>射线荧光光谱分析；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7</w:t>
      </w:r>
      <w:r>
        <w:rPr>
          <w:rFonts w:eastAsia="仿宋_GB2312" w:hint="eastAsia"/>
          <w:color w:val="000000"/>
          <w:sz w:val="30"/>
          <w:szCs w:val="30"/>
        </w:rPr>
        <w:t>．复杂基体物料成分的分离、富集及分析。</w:t>
      </w:r>
    </w:p>
    <w:p w:rsidR="00E40075" w:rsidRDefault="00E40075" w:rsidP="00E40075">
      <w:pPr>
        <w:snapToGrid w:val="0"/>
        <w:spacing w:line="560" w:lineRule="exact"/>
        <w:ind w:firstLineChars="200" w:firstLine="602"/>
        <w:rPr>
          <w:rFonts w:eastAsia="仿宋_GB2312"/>
          <w:b/>
          <w:color w:val="000000"/>
          <w:sz w:val="30"/>
          <w:szCs w:val="30"/>
        </w:rPr>
      </w:pPr>
      <w:r>
        <w:rPr>
          <w:rFonts w:ascii="楷体_GB2312" w:eastAsia="楷体_GB2312" w:hint="eastAsia"/>
          <w:b/>
          <w:color w:val="000000"/>
          <w:sz w:val="30"/>
          <w:szCs w:val="30"/>
        </w:rPr>
        <w:t>（二）食品安全领域的分析测试技术研究</w:t>
      </w:r>
    </w:p>
    <w:p w:rsidR="00E40075" w:rsidRDefault="00E40075" w:rsidP="00E40075">
      <w:pPr>
        <w:snapToGrid w:val="0"/>
        <w:spacing w:line="560" w:lineRule="exact"/>
        <w:ind w:firstLineChars="200" w:firstLine="600"/>
        <w:rPr>
          <w:rFonts w:eastAsia="仿宋_GB2312"/>
          <w:color w:val="000000"/>
          <w:sz w:val="30"/>
          <w:szCs w:val="30"/>
        </w:rPr>
      </w:pPr>
      <w:r>
        <w:rPr>
          <w:rFonts w:eastAsia="仿宋_GB2312" w:hint="eastAsia"/>
          <w:color w:val="000000"/>
          <w:sz w:val="30"/>
          <w:szCs w:val="30"/>
        </w:rPr>
        <w:t>围绕食品安全领域中的分析测试技术难题，以初级农、副产</w:t>
      </w:r>
      <w:r>
        <w:rPr>
          <w:rFonts w:eastAsia="仿宋_GB2312" w:hint="eastAsia"/>
          <w:color w:val="000000"/>
          <w:sz w:val="30"/>
          <w:szCs w:val="30"/>
        </w:rPr>
        <w:lastRenderedPageBreak/>
        <w:t>品、加工食品、市场流通食品等为重点研究对象，进行各种天然营养物质、农兽药残留、食品添加剂及非食用添加物的分析测试技术新方法和新标准方法研究。主要包括：</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．农产品和食品原料的安全检测技术。食源性危害微生物、农兽药残留、饲料添加剂和</w:t>
      </w:r>
      <w:proofErr w:type="gramStart"/>
      <w:r>
        <w:rPr>
          <w:rFonts w:eastAsia="仿宋_GB2312" w:hint="eastAsia"/>
          <w:color w:val="000000"/>
          <w:sz w:val="30"/>
          <w:szCs w:val="30"/>
        </w:rPr>
        <w:t>非允许</w:t>
      </w:r>
      <w:proofErr w:type="gramEnd"/>
      <w:r>
        <w:rPr>
          <w:rFonts w:eastAsia="仿宋_GB2312" w:hint="eastAsia"/>
          <w:color w:val="000000"/>
          <w:sz w:val="30"/>
          <w:szCs w:val="30"/>
        </w:rPr>
        <w:t>添加物等的快速筛选和确认检测技术；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．食品污染物痕量与超痕量分析技术。天然生物毒素检测新方法，农、兽药残留多组分检测新技术；食品接触包装材料中有害物质迁移量检测技术；新型持久性有机污染物残留的定性和定量检测技术；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．公共卫生突发应急事件处置中现场食物中毒，环境、生物和食物样品的快速定性检测技术；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．加工过程中污染物与食品添加剂的检测技术；在线检测技术；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5</w:t>
      </w:r>
      <w:r>
        <w:rPr>
          <w:rFonts w:eastAsia="仿宋_GB2312" w:hint="eastAsia"/>
          <w:color w:val="000000"/>
          <w:sz w:val="30"/>
          <w:szCs w:val="30"/>
        </w:rPr>
        <w:t>．危害性、抗药性细菌和病毒等致病微生物的快速测定或新行致病因子确认检测技术；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6</w:t>
      </w:r>
      <w:r>
        <w:rPr>
          <w:rFonts w:eastAsia="仿宋_GB2312" w:hint="eastAsia"/>
          <w:color w:val="000000"/>
          <w:sz w:val="30"/>
          <w:szCs w:val="30"/>
        </w:rPr>
        <w:t>．婴幼儿和老年食品中维生素、功能性低聚糖和蛋白质等营养素的确认和定量检测技术；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7</w:t>
      </w:r>
      <w:r>
        <w:rPr>
          <w:rFonts w:eastAsia="仿宋_GB2312" w:hint="eastAsia"/>
          <w:color w:val="000000"/>
          <w:sz w:val="30"/>
          <w:szCs w:val="30"/>
        </w:rPr>
        <w:t>．中草药、保健品的功效因子检测技术；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8</w:t>
      </w:r>
      <w:r>
        <w:rPr>
          <w:rFonts w:eastAsia="仿宋_GB2312" w:hint="eastAsia"/>
          <w:color w:val="000000"/>
          <w:sz w:val="30"/>
          <w:szCs w:val="30"/>
        </w:rPr>
        <w:t>．包装材料有害、有毒有机物残留的定性和定量检测技术；</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9</w:t>
      </w:r>
      <w:r>
        <w:rPr>
          <w:rFonts w:eastAsia="仿宋_GB2312" w:hint="eastAsia"/>
          <w:color w:val="000000"/>
          <w:sz w:val="30"/>
          <w:szCs w:val="30"/>
        </w:rPr>
        <w:t>．各类海洋食品、生物样品中营养元素和有害金属及其形态的分析；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10</w:t>
      </w:r>
      <w:r>
        <w:rPr>
          <w:rFonts w:eastAsia="仿宋_GB2312" w:hint="eastAsia"/>
          <w:color w:val="000000"/>
          <w:sz w:val="30"/>
          <w:szCs w:val="30"/>
        </w:rPr>
        <w:t>．食品检测过程中，各类标准物质、基准物质，以及质量控制样品的研制；</w:t>
      </w:r>
    </w:p>
    <w:p w:rsidR="00E40075" w:rsidRDefault="00E40075" w:rsidP="00E40075">
      <w:pPr>
        <w:snapToGrid w:val="0"/>
        <w:spacing w:line="58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lastRenderedPageBreak/>
        <w:t>（三）环境样品分析</w:t>
      </w:r>
    </w:p>
    <w:p w:rsidR="00E40075" w:rsidRDefault="00E40075" w:rsidP="00E40075">
      <w:pPr>
        <w:snapToGrid w:val="0"/>
        <w:spacing w:line="580" w:lineRule="exact"/>
        <w:ind w:firstLineChars="200" w:firstLine="600"/>
        <w:rPr>
          <w:rFonts w:eastAsia="仿宋_GB2312"/>
          <w:color w:val="000000"/>
          <w:sz w:val="30"/>
          <w:szCs w:val="30"/>
        </w:rPr>
      </w:pPr>
      <w:r>
        <w:rPr>
          <w:rFonts w:eastAsia="仿宋_GB2312" w:hint="eastAsia"/>
          <w:color w:val="000000"/>
          <w:sz w:val="30"/>
          <w:szCs w:val="30"/>
        </w:rPr>
        <w:t>围绕环境（水、气、土、生物系统）领域中的分析测试技术难题</w:t>
      </w:r>
      <w:r>
        <w:rPr>
          <w:rFonts w:eastAsia="仿宋_GB2312"/>
          <w:color w:val="000000"/>
          <w:sz w:val="30"/>
          <w:szCs w:val="30"/>
        </w:rPr>
        <w:t xml:space="preserve">, </w:t>
      </w:r>
      <w:r>
        <w:rPr>
          <w:rFonts w:eastAsia="仿宋_GB2312" w:hint="eastAsia"/>
          <w:color w:val="000000"/>
          <w:sz w:val="30"/>
          <w:szCs w:val="30"/>
        </w:rPr>
        <w:t>用大型精密仪器进行环境样品的分析测试新方法和新技术的研究。主要包括：</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．环境样品中持久性有机污染物的分析测试；</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．环境样品中内分泌干扰素的分析测试；</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．环境样品中农药及典型代谢产物的分析测试；</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．环境样品中化学药品残留的分析测试；</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5</w:t>
      </w:r>
      <w:r>
        <w:rPr>
          <w:rFonts w:eastAsia="仿宋_GB2312" w:hint="eastAsia"/>
          <w:color w:val="000000"/>
          <w:sz w:val="30"/>
          <w:szCs w:val="30"/>
        </w:rPr>
        <w:t>．环境样品中重金属多组分分析方法及金属元素形态分析；</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6</w:t>
      </w:r>
      <w:r>
        <w:rPr>
          <w:rFonts w:eastAsia="仿宋_GB2312" w:hint="eastAsia"/>
          <w:color w:val="000000"/>
          <w:sz w:val="30"/>
          <w:szCs w:val="30"/>
        </w:rPr>
        <w:t>．环境污染事故应急监测与事故鉴定分析技术；</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7</w:t>
      </w:r>
      <w:r>
        <w:rPr>
          <w:rFonts w:eastAsia="仿宋_GB2312" w:hint="eastAsia"/>
          <w:color w:val="000000"/>
          <w:sz w:val="30"/>
          <w:szCs w:val="30"/>
        </w:rPr>
        <w:t>．环境污染预警监测技术和自动在线检测技术；</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8</w:t>
      </w:r>
      <w:r>
        <w:rPr>
          <w:rFonts w:eastAsia="仿宋_GB2312" w:hint="eastAsia"/>
          <w:color w:val="000000"/>
          <w:sz w:val="30"/>
          <w:szCs w:val="30"/>
        </w:rPr>
        <w:t>．噪声、振动、辐射、光污染分析测试新技术；</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9</w:t>
      </w:r>
      <w:r>
        <w:rPr>
          <w:rFonts w:eastAsia="仿宋_GB2312" w:hint="eastAsia"/>
          <w:color w:val="000000"/>
          <w:sz w:val="30"/>
          <w:szCs w:val="30"/>
        </w:rPr>
        <w:t>．低环境污染的绿色分析技术。</w:t>
      </w:r>
    </w:p>
    <w:p w:rsidR="00E40075" w:rsidRDefault="00E40075" w:rsidP="00E40075">
      <w:pPr>
        <w:snapToGrid w:val="0"/>
        <w:spacing w:line="58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（四）生物与医学检测</w:t>
      </w:r>
    </w:p>
    <w:p w:rsidR="00E40075" w:rsidRDefault="00E40075" w:rsidP="00E40075">
      <w:pPr>
        <w:snapToGrid w:val="0"/>
        <w:spacing w:line="580" w:lineRule="exact"/>
        <w:ind w:firstLineChars="200" w:firstLine="600"/>
        <w:rPr>
          <w:rFonts w:eastAsia="仿宋_GB2312"/>
          <w:color w:val="000000"/>
          <w:sz w:val="30"/>
          <w:szCs w:val="30"/>
        </w:rPr>
      </w:pPr>
      <w:r>
        <w:rPr>
          <w:rFonts w:eastAsia="仿宋_GB2312" w:hint="eastAsia"/>
          <w:color w:val="000000"/>
          <w:sz w:val="30"/>
          <w:szCs w:val="30"/>
        </w:rPr>
        <w:t>针对我省生命科学基础研究的发展现状，采用大型精密仪器进行分析测试新方法和新技术研究。主要包括：</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．核酸、蛋白质序列测定，研究其三维空间结构；</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．检测分析基因的表达及重要功能蛋白在细胞中的动态分布，提高分析检测技术在细胞工程、基因工程、蛋白质工程、酶工程等领域中应用的准确性和精准性；</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．生命体组织与细胞（动物、植物）的微观结构检测</w:t>
      </w:r>
      <w:r>
        <w:rPr>
          <w:rFonts w:eastAsia="仿宋_GB2312"/>
          <w:color w:val="000000"/>
          <w:sz w:val="30"/>
          <w:szCs w:val="30"/>
        </w:rPr>
        <w:t>;</w:t>
      </w:r>
    </w:p>
    <w:p w:rsidR="00E40075" w:rsidRDefault="00E40075" w:rsidP="00E40075">
      <w:pPr>
        <w:tabs>
          <w:tab w:val="left" w:pos="312"/>
        </w:tabs>
        <w:snapToGrid w:val="0"/>
        <w:spacing w:line="58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．与人体健康相关产品的安全和营养因子等快速检测新方法和新技术研究。</w:t>
      </w:r>
    </w:p>
    <w:p w:rsidR="00E40075" w:rsidRDefault="00E40075" w:rsidP="00E40075">
      <w:pPr>
        <w:snapToGrid w:val="0"/>
        <w:spacing w:line="58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（五）工业产品分析</w:t>
      </w:r>
    </w:p>
    <w:p w:rsidR="00E40075" w:rsidRDefault="00E40075" w:rsidP="00E40075">
      <w:pPr>
        <w:snapToGrid w:val="0"/>
        <w:spacing w:line="560" w:lineRule="exact"/>
        <w:ind w:firstLineChars="200" w:firstLine="600"/>
        <w:rPr>
          <w:rFonts w:eastAsia="仿宋_GB2312"/>
          <w:color w:val="000000"/>
          <w:sz w:val="30"/>
          <w:szCs w:val="30"/>
        </w:rPr>
      </w:pPr>
      <w:r>
        <w:rPr>
          <w:rFonts w:eastAsia="仿宋_GB2312" w:hint="eastAsia"/>
          <w:color w:val="000000"/>
          <w:sz w:val="30"/>
          <w:szCs w:val="30"/>
        </w:rPr>
        <w:lastRenderedPageBreak/>
        <w:t>围绕纺织、石油、化工、钢铁、轻工等我省具有优势的工业产品，利用大型精密仪器进行分析测试新方法和新技术的研究。主要包括：</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．工业产品中国际国内规定禁用、限用化学物质分析新方法的研究和标准的制（修）订；</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．在石油、化工、钢铁、轻工等领域中，能较大提高经济效益和提升产品质量的关键组分的检测方法研究；</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．能降低成本、缩短生产时间、提高产品质量的过程控制分析技术研究；</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．具有一定浙江地域特色的特殊产品的检测方法的开发。</w:t>
      </w:r>
    </w:p>
    <w:p w:rsidR="00E40075" w:rsidRDefault="00E40075" w:rsidP="00E40075">
      <w:pPr>
        <w:snapToGrid w:val="0"/>
        <w:spacing w:line="560" w:lineRule="exact"/>
        <w:ind w:firstLineChars="200" w:firstLine="602"/>
        <w:rPr>
          <w:rFonts w:ascii="楷体_GB2312" w:eastAsia="楷体_GB2312"/>
          <w:b/>
          <w:color w:val="000000"/>
          <w:sz w:val="30"/>
          <w:szCs w:val="30"/>
        </w:rPr>
      </w:pPr>
      <w:r>
        <w:rPr>
          <w:rFonts w:ascii="楷体_GB2312" w:eastAsia="楷体_GB2312" w:hint="eastAsia"/>
          <w:b/>
          <w:color w:val="000000"/>
          <w:sz w:val="30"/>
          <w:szCs w:val="30"/>
        </w:rPr>
        <w:t>（六）药物分析</w:t>
      </w:r>
    </w:p>
    <w:p w:rsidR="00E40075" w:rsidRDefault="00E40075" w:rsidP="00E40075">
      <w:pPr>
        <w:snapToGrid w:val="0"/>
        <w:spacing w:line="560" w:lineRule="exact"/>
        <w:ind w:firstLineChars="200" w:firstLine="600"/>
        <w:rPr>
          <w:rFonts w:eastAsia="仿宋_GB2312"/>
          <w:color w:val="000000"/>
          <w:sz w:val="30"/>
          <w:szCs w:val="30"/>
        </w:rPr>
      </w:pPr>
      <w:r>
        <w:rPr>
          <w:rFonts w:eastAsia="仿宋_GB2312" w:hint="eastAsia"/>
          <w:color w:val="000000"/>
          <w:sz w:val="30"/>
          <w:szCs w:val="30"/>
        </w:rPr>
        <w:t>围绕我省医药、农药、兽药等产业发展的需求，采用大型精密仪器对具有生物活性、有医学应用前景的合成和天然产物进行化学结构确定、成分分析的研究，促进寻找新型的有效药物。主要包括：</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1</w:t>
      </w:r>
      <w:r>
        <w:rPr>
          <w:rFonts w:eastAsia="仿宋_GB2312" w:hint="eastAsia"/>
          <w:color w:val="000000"/>
          <w:sz w:val="30"/>
          <w:szCs w:val="30"/>
        </w:rPr>
        <w:t>．过程控制分析；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2</w:t>
      </w:r>
      <w:r>
        <w:rPr>
          <w:rFonts w:eastAsia="仿宋_GB2312" w:hint="eastAsia"/>
          <w:color w:val="000000"/>
          <w:sz w:val="30"/>
          <w:szCs w:val="30"/>
        </w:rPr>
        <w:t>．创新药物的结构分析；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3</w:t>
      </w:r>
      <w:r>
        <w:rPr>
          <w:rFonts w:eastAsia="仿宋_GB2312" w:hint="eastAsia"/>
          <w:color w:val="000000"/>
          <w:sz w:val="30"/>
          <w:szCs w:val="30"/>
        </w:rPr>
        <w:t>．药物中微量有机和无机杂质分析；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4</w:t>
      </w:r>
      <w:r>
        <w:rPr>
          <w:rFonts w:eastAsia="仿宋_GB2312" w:hint="eastAsia"/>
          <w:color w:val="000000"/>
          <w:sz w:val="30"/>
          <w:szCs w:val="30"/>
        </w:rPr>
        <w:t>．有机药物结构及晶型的分析；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5</w:t>
      </w:r>
      <w:r>
        <w:rPr>
          <w:rFonts w:eastAsia="仿宋_GB2312" w:hint="eastAsia"/>
          <w:color w:val="000000"/>
          <w:sz w:val="30"/>
          <w:szCs w:val="30"/>
        </w:rPr>
        <w:t>．天然药物（中草药、海洋药物）中新活性成分分析；</w:t>
      </w:r>
    </w:p>
    <w:p w:rsidR="00E40075" w:rsidRDefault="00E40075" w:rsidP="00E40075">
      <w:pPr>
        <w:tabs>
          <w:tab w:val="left" w:pos="312"/>
        </w:tabs>
        <w:snapToGrid w:val="0"/>
        <w:spacing w:line="560" w:lineRule="exact"/>
        <w:ind w:firstLineChars="200" w:firstLine="560"/>
        <w:rPr>
          <w:rFonts w:eastAsia="仿宋_GB2312"/>
          <w:color w:val="000000"/>
          <w:sz w:val="30"/>
          <w:szCs w:val="30"/>
        </w:rPr>
      </w:pPr>
      <w:r>
        <w:rPr>
          <w:rFonts w:eastAsia="仿宋_GB2312"/>
          <w:color w:val="000000"/>
          <w:kern w:val="0"/>
          <w:sz w:val="28"/>
          <w:szCs w:val="28"/>
        </w:rPr>
        <w:t>6</w:t>
      </w:r>
      <w:r>
        <w:rPr>
          <w:rFonts w:eastAsia="仿宋_GB2312" w:hint="eastAsia"/>
          <w:color w:val="000000"/>
          <w:sz w:val="30"/>
          <w:szCs w:val="30"/>
        </w:rPr>
        <w:t>．中药掺杂化学药物的分析。</w:t>
      </w:r>
    </w:p>
    <w:p w:rsidR="00E40075" w:rsidRDefault="00E40075" w:rsidP="00E40075">
      <w:pPr>
        <w:snapToGrid w:val="0"/>
        <w:spacing w:line="560" w:lineRule="exact"/>
        <w:ind w:firstLineChars="200" w:firstLine="600"/>
        <w:rPr>
          <w:rFonts w:eastAsia="仿宋_GB2312"/>
          <w:color w:val="000000"/>
          <w:sz w:val="30"/>
          <w:szCs w:val="30"/>
        </w:rPr>
      </w:pPr>
    </w:p>
    <w:p w:rsidR="00E40075" w:rsidRDefault="00E40075" w:rsidP="00E40075">
      <w:pPr>
        <w:snapToGrid w:val="0"/>
        <w:spacing w:line="560" w:lineRule="exact"/>
        <w:ind w:firstLineChars="200" w:firstLine="600"/>
        <w:rPr>
          <w:rFonts w:eastAsia="仿宋_GB2312"/>
          <w:color w:val="000000"/>
          <w:sz w:val="30"/>
          <w:szCs w:val="30"/>
        </w:rPr>
      </w:pPr>
    </w:p>
    <w:p w:rsidR="00E40075" w:rsidRDefault="00E40075" w:rsidP="00E40075">
      <w:pPr>
        <w:snapToGrid w:val="0"/>
        <w:spacing w:line="560" w:lineRule="exact"/>
        <w:ind w:firstLineChars="200" w:firstLine="600"/>
        <w:rPr>
          <w:rFonts w:eastAsia="仿宋_GB2312"/>
          <w:color w:val="000000"/>
          <w:sz w:val="30"/>
          <w:szCs w:val="30"/>
        </w:rPr>
      </w:pPr>
    </w:p>
    <w:p w:rsidR="0022672C" w:rsidRPr="00E40075" w:rsidRDefault="0022672C"/>
    <w:sectPr w:rsidR="0022672C" w:rsidRPr="00E40075" w:rsidSect="002267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5F41F"/>
    <w:multiLevelType w:val="singleLevel"/>
    <w:tmpl w:val="5965F41F"/>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0075"/>
    <w:rsid w:val="0022672C"/>
    <w:rsid w:val="00E40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7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ZSG</cp:lastModifiedBy>
  <cp:revision>1</cp:revision>
  <dcterms:created xsi:type="dcterms:W3CDTF">2019-04-26T05:24:00Z</dcterms:created>
  <dcterms:modified xsi:type="dcterms:W3CDTF">2019-04-26T05:24:00Z</dcterms:modified>
</cp:coreProperties>
</file>